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867-6k_intercont.htm"/>
      <w:bookmarkStart w:id="1" w:name="ksea03088676k_intercont"/>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Ocean Drive Singapore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Chief Financial Officer and Director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2026, the Board of Directors (the “Board”) of Intercont (Cayman) Limited (the “Company”) received the resignation of Ms. Qingyuan Wang (“Ms. Wang”) from her positions as Chief Financial Officer and a director of the Company, effective immediately.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Interim Chief Financial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October 16, 2026, the Board appointed Ms. Muchun Zhu (“Ms. Zhu”) as the Interim Chief Financial Officer of the Company. Ms. Zhu will continue to serve as the Company’s Chief Executive Officer and Chairman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Zhu has been serving as the Company’s Chief Executive Officer, a director and Chairman of the Board since July 2023. Ms. Zhu has over ten years of work experience in finance and investing. Prior to working at the Company, Ms. Zhu served as a managing director at Beijing Jiulichenwei Investment and Management Company from 2018 to 2023. Ms. Zhu served as a senior investment adviser at Topsheen Shipping Group Limited from 2019 to 2020. From 2015 to 2018, Ms. Zhu served as the president and chief executive officer of Innovate Asset Management (Group) Co., Ltd. Ms. Zhu obtained her bachelor’s degree in business administration from the University of Plymouth in 2005, and her master’s degree in finance and investment from the University of Exeter in 2006.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344" w:type="dxa"/>
        <w:jc w:val="left"/>
        <w:tblInd w:w="0" w:type="dxa"/>
        <w:tblLayout w:type="fixed"/>
        <w:tblCellMar>
          <w:top w:w="0" w:type="dxa"/>
          <w:left w:w="0" w:type="dxa"/>
          <w:bottom w:w="0" w:type="dxa"/>
          <w:right w:w="0" w:type="dxa"/>
        </w:tblCellMar>
      </w:tblPr>
      <w:tblGrid>
        <w:gridCol w:w="1925"/>
        <w:gridCol w:w="340"/>
        <w:gridCol w:w="2079"/>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16, 2026</w:t>
            </w:r>
          </w:p>
        </w:tc>
        <w:tc>
          <w:tcPr>
            <w:tcW w:w="24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Intercont (Cayman) Limited</w:t>
            </w:r>
          </w:p>
        </w:tc>
      </w:tr>
      <w:tr>
        <w:trPr/>
        <w:tc>
          <w:tcPr>
            <w:tcW w:w="192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9" w:type="dxa"/>
            <w:tcBorders>
              <w:bottom w:val="single" w:sz="12" w:space="0" w:color="000000"/>
            </w:tcBorders>
            <w:tcMar>
              <w:bottom w:w="28" w:type="dxa"/>
            </w:tcMar>
            <w:vAlign w:val="center"/>
          </w:tcPr>
          <w:p>
            <w:pPr>
              <w:pStyle w:val="TableContents"/>
              <w:bidi w:val="0"/>
              <w:spacing w:before="0" w:after="283"/>
              <w:jc w:val="left"/>
              <w:rPr/>
            </w:pPr>
            <w:r>
              <w:rPr/>
              <w:t>/s/ Muchun Zhu</w:t>
            </w:r>
          </w:p>
        </w:tc>
      </w:tr>
      <w:tr>
        <w:trPr/>
        <w:tc>
          <w:tcPr>
            <w:tcW w:w="192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Muchun Zhu</w:t>
            </w:r>
          </w:p>
        </w:tc>
      </w:tr>
      <w:tr>
        <w:trPr/>
        <w:tc>
          <w:tcPr>
            <w:tcW w:w="192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348</Words>
  <Characters>1820</Characters>
  <CharactersWithSpaces>2182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