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Zhu Muchun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INTERCONT (CAYMAN) LIMITED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39 OCEAN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SINGAPORE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098187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SINGAPORE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Intercont (Cayman)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NCT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 and Chairman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58"/>
        <w:gridCol w:w="898"/>
        <w:gridCol w:w="771"/>
        <w:gridCol w:w="569"/>
        <w:gridCol w:w="365"/>
        <w:gridCol w:w="1131"/>
        <w:gridCol w:w="424"/>
        <w:gridCol w:w="587"/>
        <w:gridCol w:w="1469"/>
        <w:gridCol w:w="959"/>
        <w:gridCol w:w="97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5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4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5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1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5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5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Ordinary Shares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5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11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1,625,000</w:t>
            </w:r>
          </w:p>
        </w:tc>
        <w:tc>
          <w:tcPr>
            <w:tcW w:w="4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5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0.4</w:t>
            </w:r>
          </w:p>
        </w:tc>
        <w:tc>
          <w:tcPr>
            <w:tcW w:w="14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1,831,598.04</w:t>
            </w:r>
          </w:p>
        </w:tc>
        <w:tc>
          <w:tcPr>
            <w:tcW w:w="9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Beverly Holding Limited (BVI)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Muchun Zhu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71210" TargetMode="External"/><Relationship Id="rId5" Type="http://schemas.openxmlformats.org/officeDocument/2006/relationships/hyperlink" Target="http://www.sec.gov/cgi-bin/browse-edgar?action=getcompany&amp;CIK=00020185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574</Words>
  <Characters>3134</Characters>
  <CharactersWithSpaces>3638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