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following exhibit is attached: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1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60" w:type="dxa"/>
            <w:vAlign w:val="bottom"/>
          </w:tcPr>
          <w:p>
            <w:pPr>
              <w:spacing w:after="0"/>
              <w:rPr>
                <w:sz w:val="21"/>
                <w:szCs w:val="21"/>
                <w:color w:val="auto"/>
              </w:rPr>
            </w:pPr>
          </w:p>
        </w:tc>
        <w:tc>
          <w:tcPr>
            <w:tcW w:w="91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Fact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914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b w:val="1"/>
          <w:bCs w:val="1"/>
          <w:color w:val="auto"/>
        </w:rPr>
        <w:t>Intercont (Cayman)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FACT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 Announces the Meeting of the Holders of Class A Ordinary Shares and Extraordinary Shareholder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The board of directors of Intercont (Cayman) Limited (“We”, “Us” or the “Company”) passed board resolutions that the Company will hold a meeting of the holders of Class A Ordinary Shares (the “Class A Meeting”) on Friday, June 5, 2026 at 9:00 a.m. (Eastern Time), and an extraordinary general meeting of its shareholders (the “EGM”) immediately following the Class A Meeting, to seek approval 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Increase of Class B Ordinary Shares in the Authorised Share Capital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Change of Voting Right of Class B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EGM:</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Increase of Share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Change of Voting Right of Class B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Further Revised Reverse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Fractional Entitlements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Meeting and EGM will be held at Company’s office 12th Floor, Building 1, 16 Bailongjiang East Street, Jianye District, Nanjing City, Jiangsu Province, China. If approved, the change in the Company’s share capital and change of voting rights of Class B Ordinary Shares will become effective immediately upon approval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lvl w:ilvl="1">
      <w:lvlJc w:val="left"/>
      <w:lvlText w:val="(%2)"/>
      <w:numFmt w:val="decimal"/>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1)"/>
      <w:numFmt w:val="lowerRoman"/>
      <w:start w:val="1"/>
    </w:lvl>
    <w:lvl w:ilvl="1">
      <w:lvlJc w:val="left"/>
      <w:lvlText w:val="(%2)"/>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2026-05-12T10:16:41Z</dcterms:created>
  <dcterms:modified xsi:type="dcterms:W3CDTF">2026-05-12T10:16:41Z</dcterms:modified>
</cp:coreProperties>
</file>