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ea0296968-f3_intercont.htm"/>
      <w:bookmarkStart w:id="1" w:name="ksea0296968f3_intercont"/>
      <w:bookmarkEnd w:id="0"/>
      <w:bookmarkEnd w:id="1"/>
      <w:r>
        <w:rPr>
          <w:rFonts w:ascii="Times New Roman;Times;Serif" w:hAnsi="Times New Roman;Times;Serif"/>
          <w:b/>
          <w:i w:val="false"/>
          <w:caps w:val="false"/>
          <w:smallCaps w:val="false"/>
          <w:sz w:val="20"/>
        </w:rPr>
        <w:t>As filed with the Securities and Exchange Commission on August 14,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w:t>
        <w:b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b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4412</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(Primary Standard Industrial</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OCEAN DRIVE, SINGAPORE</w:t>
        <w:br/>
        <w:t>Singapore, 098187</w:t>
        <w:br/>
        <w:t>Tel: +65 88182399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b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Street, 18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br/>
        <w:t>New York, New York 10016</w:t>
        <w:br/>
        <w:t>(212) 947-7200</w:t>
        <w:b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 Lou, Esq.</w:t>
        <w:br/>
        <w:t>Jun He Law Offices LLC</w:t>
        <w:br/>
        <w:t>Suite 1919, 630 Fifth Avenue</w:t>
        <w:br/>
        <w:t>New York, NY 10111</w:t>
        <w:br/>
        <w:t>Tel: (917) 661-8175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From time to time on or after the effective date of this registration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United States Securities and Exchange Commission is effective. This preliminary prospectus is not an offer to sell nor does it seek an offer to buy these securities in any jurisdiction where the offer or sale is not permitted.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PRELIMINARY PROSPECTUS (Subject to Completion)</w:t>
        <w:br/>
        <w:t>Dated 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US $200,000,000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Debt Securities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859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5975" cy="8001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(Cayman) Ltd. (the “Company,” “we” or “us”) may, from time to time, in one or more offerings, offer and sell up to US$200,000,000 of any combination, together or separately, of our Class A ordinary shares of par value $0.0025 each (the “Class A Ordinary Shares”), debt securities, warrants, rights, and units, or any combination thereof, together or separately as described in this prospectus. In this prospectus, references to the term “securities” refers collectively to our Class A Ordinary Shares, debt securities, warrants, rights, and units. The prospectus supplement for each offering of securities will describe in detail the plan of distribution for that offering. For general information about the distribution of the securities offered, please see “Plan of Distribution”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provides a general description of the securities we may offer. We will provide the specific terms of the securities offered in one or more supplements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authorize one or more free writing prospectuses to be provided to you in connection with these offerings. The prospectus supplement and any related free writing prospectus may add, update or change information contained in this prospectus. You should carefully read this prospectus, the applicable prospectus supplement and any related free writing prospectus, as well as the documents incorporated by reference herein or therein, before you invest in any of our securities. This prospectus may not be used to offer or sell any securities unless accompanied by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our outstanding Class A Ordinary Shares held by non-affiliates, or public float was approximately US$90,812,732, which was calculated based on 25,437,740 Class A Ordinary Shares held by non-affiliates and US$3.57 per Class A Ordinary Share, which was the closing price of our Class A Ordinary Shares on Nasdaq on August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these securities through public or private transactions, directly or through one or more underwriters, dealers, brokers and agents, on or off the NASDAQ Capital Market, or NASDAQ, at prevailing market prices or at privately negotiated prices. If any underwriters, dealers, brokers or agents are involved in the sale of any of these securities, the appliable prospectus supplement will set forth the name of the underwriter, dealer, broker or agent and any applicable fees, commissions or discounts.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under the symbol “NCT”. On August 12, 2026, the closing price for our Class A Ordinary Shares was $3.57 per share as reported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9 of this prospectus and risk factors set forth in our most recent annual report on Form 20-F, in other reports incorporated herein by reference, and in an applicable prospectus supplement under the heading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is a Cayman Islands holding company with no substantive operations. As used in this prospectus, “we,” “us,” the “Group,” “our company,” and “our,” refer to Intercont (Cayman) Limited, together as a group with its subsidiaries. Intercont carries out its business primarily through its subsidiaries located in Asia. Investors in Intercont’s Class A Ordinary Shares should be aware that they will not directly hold equity interests in the operating subsidiaries, but will solely hold equity interests in Intercont, the Cayman holding company. This structure involves unique risks to the investors. If the structure changes or becomes disallowed by regulatory authorities, Intercont’s operations could be materially and adversely affected, causing significant decline in the price of Intercont’s Class A Ordinary Shares or rendering them worthless. For further information, see “</w:t>
      </w:r>
      <w:r>
        <w:rPr>
          <w:rFonts w:ascii="Times New Roman;Times;Serif" w:hAnsi="Times New Roman;Times;Serif"/>
          <w:b w:val="false"/>
          <w:i/>
          <w:caps w:val="false"/>
          <w:smallCaps w:val="false"/>
          <w:sz w:val="20"/>
        </w:rPr>
        <w:t>Risk Factors — Risks Related to Our Corporate Structure</w:t>
      </w:r>
      <w:r>
        <w:rPr>
          <w:rFonts w:ascii="Times New Roman;Times;Serif" w:hAnsi="Times New Roman;Times;Serif"/>
          <w:b w:val="false"/>
          <w:i w:val="false"/>
          <w:caps w:val="false"/>
          <w:smallCaps w:val="false"/>
          <w:sz w:val="20"/>
        </w:rPr>
        <w:t>” commencing on page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Intercont has one (1) direct subsidiary in Singapore, one (1) direct subsidiary in the British Virgin Islands (the “BVI Subsidiary”), and five (5) 100% owned indirect subsidiaries in Hong Kong (the “Hong Kong Subsidiaries”) through our BVI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our Hong Kong Subsidiaries, including changes in demand, economic and political developments and regulatory changes in Hong Kong, which will have a significant effect on our business, results of operations and financial condition. Hong Kong is a special administrative region of the People’s Republic of China (“PRC”) and the basic policies of the PRC regarding Hong Kong are reflected in the Basic Law of the Hong Kong Special Administrative Region of the People’s Republic of China (the “Basic Law”), namely, Hong Kong’s constitutional document, which provides Hong Kong with a high degree of autonomy and executive, legislative and independent judicial powers, including that of final adjudication under the principle of “one country, two systems”. Accordingly, we believe the laws and regulations of the PRC do not currently have any material impact on our business, financial condition or results of operations. However, there is no assurance that there will not be any changes in the economic, political and legal environment in Hong Kong in the future. All of the legal and operational risks associated in operating in the PRC also apply to the operations of our Hong Kong Subsidiaries, and we face the risks and uncertainties associated with the complex and evolving PRC laws and regulations, as to whether and how the recent and future PRC government statements and regulatory developments (such as those relating to data security or anti-monopoly) would be applicable to our Hong Kong Subsidiaries and us, and as to the possibilities that the PRC government may exercise significant oversight over the conduct of business in Hong Kong. If there is any significant change to current political arrangements between PRC and Hong Kong or the PRC government exerts more oversight and control over Hong Kong-based companies, a company operated in Hong Kong may face similar regulatory risks as those operated in the mainland of China, including its ability to offer securities to investors, list its securities on a U.S. or other foreign exchange, conduct its business, accept foreign investment, move money out of Hong Kong to distribute earnings or pay dividends or to reinvest in its business outside of Hong Kong. In light of the foregoing, there are risks and uncertainties which we cannot foresee, and policies, rules and regulations and the enforcement of laws in the PRC can change quickly with little or no advance notice, and our assertions and beliefs of the risk imposed by the PRC legal and regulatory system cannot be certain. There are risks that the PRC government may intervene or influence our current and future operations in Hong Kong at any time, or may exert more control over offerings conducted overseas and/or foreign investment in issuers likes ourselves. If the PRC government intervenes or influences our current and future operations in Hong Kong in the future, the Chinese regulatory authorities may disallow the holding company structure of us, which would likely result in a material change in our operations and a material change in the value of the Class A Ordinary Shares, including that it could cause the value of the Class A Ordinary Shares to significantly decline or become worthless. In addition, any actions by the PRC government to exert more oversight and control over offerings that are conducted overseas and/or foreign investment in Hong Kong-based issuers could significantly limit or completely hinder our ability to offer or continue to offer securities to investors and cause the value of such securities to significantly decline or be worthless. See “</w:t>
      </w:r>
      <w:r>
        <w:rPr>
          <w:rFonts w:ascii="Times New Roman;Times;Serif" w:hAnsi="Times New Roman;Times;Serif"/>
          <w:b w:val="false"/>
          <w:i/>
          <w:caps w:val="false"/>
          <w:smallCaps w:val="false"/>
          <w:sz w:val="20"/>
        </w:rPr>
        <w:t>Risk Factors — Risks Related to Doing Business in Hong Kong — Our business, financial condition and results of operations, and/or the value of Intercont’s Class A Ordinary Shares or our ability to offer or continue to offer securities to investors may be materially and adversely affected to the extent the laws and regulations of the PRC become applicable to a company such as 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legislation in Hong Kong concerning data privacy is the Personal Data (Privacy) Ordinance (Chapter 486 of the Laws of Hong Kong) (the “PDPO”), which regulates the collection, usage, storage, and transfer of personal data and imposes a statutory duty on data users to comply with the six data protection principles contained therein. We confirm that, to the best of our knowledge, information, and belief, as of the date of this prospectus, each of the Hong Kong Subsidiaries has complied with the laws and requirements in respect of data privacy in Hong Kong. However, the laws on data privacy are constantly evolving and may be subject to varying interpretations, resulting in uncertainties about the scope of our responsibilities in that regard. Failure to comply with the data privacy requirements in a timely manner, or at all, may subject us or our Hong Kong Subsidiaries to various potential consequences, including government enforcement actions and investigations, fines, penalties, imprisonment and suspension or disruption of the Hong Kong Subsidiaries’ operations, as well as potential civil proceedings. See “</w:t>
      </w:r>
      <w:r>
        <w:rPr>
          <w:rFonts w:ascii="Times New Roman;Times;Serif" w:hAnsi="Times New Roman;Times;Serif"/>
          <w:b w:val="false"/>
          <w:i/>
          <w:caps w:val="false"/>
          <w:smallCaps w:val="false"/>
          <w:sz w:val="20"/>
        </w:rPr>
        <w:t>Risk Factors — Risks Related to Doing Business in Hong Kong — Our Shipping Subsidiaries are subject to various evolving Hong Kong laws and regulations regarding data privacy, which could subject them to government enforcement actions and investigations, fines, penalties, and suspension or disruption of their operations</w:t>
      </w:r>
      <w:r>
        <w:rPr>
          <w:rFonts w:ascii="Times New Roman;Times;Serif" w:hAnsi="Times New Roman;Times;Serif"/>
          <w:b w:val="false"/>
          <w:i w:val="false"/>
          <w:caps w:val="false"/>
          <w:smallCaps w:val="false"/>
          <w:sz w:val="20"/>
        </w:rPr>
        <w:t>” commencing on page 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Competition Ordinance (Chapter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referred to as the first conduct rule, the second conduct rule, and the merger rule. See “</w:t>
      </w:r>
      <w:r>
        <w:rPr>
          <w:rFonts w:ascii="Times New Roman;Times;Serif" w:hAnsi="Times New Roman;Times;Serif"/>
          <w:b w:val="false"/>
          <w:i/>
          <w:caps w:val="false"/>
          <w:smallCaps w:val="false"/>
          <w:sz w:val="20"/>
        </w:rPr>
        <w:t>Risk Factors — Risks Related to Doing Business in Hong Kong — Failure to comply with Hong Kong Competition Law may result in material and adverse effect on our business, financial condition and results of operations</w:t>
      </w:r>
      <w:r>
        <w:rPr>
          <w:rFonts w:ascii="Times New Roman;Times;Serif" w:hAnsi="Times New Roman;Times;Serif"/>
          <w:b w:val="false"/>
          <w:i w:val="false"/>
          <w:caps w:val="false"/>
          <w:smallCaps w:val="false"/>
          <w:sz w:val="20"/>
        </w:rPr>
        <w:t>” commencing on page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consulting our counsel to Hong Kong law, Lawrence Chan &amp; Co., we do not consider the said data privacy and anti-competition laws and regulations in Hong Kong restrict our ability to conduct our business, accept foreign investment or impose limitations on our ability to list on any U.S. or foreign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generate all of our revenues from our Hong Kong Subsidiaries. Cash may be transferred among Intercont and its Hong Kong Subsidiaries, typically transferred through inter-company loans, to lend to and borrow from each other from time to time for business operation purposes. For the years ended June 30, 2025, 2024 and 2023, inter-company cash transfers among Intercont and its subsidiaries amounted to $50,000, $50,000 and $nil, respectively. For the period of the six months period ended December 31, 2025 and 2024, inter-company cash transfers among Intercont and its subsidiaries amounted to $84,337 and $50,000, respectively. No transfers of other assets have occurred among Intercont and its subsidiaries. Under the current laws of Hong Kong, except for the requirement of maintaining sufficient fund for the Hong Kong Subsidiaries to remain solvent as a going concern and meet its contractual obligations owed to third parties prohibiting or restricting dividend distributions, these Hong Kong Subsidiaries are not subject to restrictions of distributing funds out of distributable profits to the holding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legal opinion of Lawrence Chan &amp; Co., our counsel to Hong Kong law, there are currently no such restrictions on foreign exchange and our ability to transfer cash or assets between Intercont and the Hong Kong Subsidiaries. While there are currently no such restrictions on foreign exchange and our ability to transfer cash or assets between Intercont and the Hong Kong Subsidiaries, if certain PRC laws and regulations, including existing laws and regulations and those enacted or promulgated in the future, were to become applicable to us, and to the extent our cash or assets are in Hong Kong or a Hong Kong entity (such as the Hong Kong Subsidiaries), such funds or assets may not be available to fund operations or for other use outside of Hong Kong due to the imposition of restrictions, limitations, or procedures on transfer of funds or assets by the PRC government. Any limitation on the ability of any of the Hong Kong Subsidiaries to pay dividends or make other distributions to its holding company could materially and adversely limit our ability to grow, make investments or acquisitions that could be beneficial to our business, pay dividends, or otherwise fund and conduct our business. In addition, if any of the Hong Kong Subsidiaries incurs debt on its own behalf in the future, the instruments governing such debt may restrict its ability to pay dividends. See “</w:t>
      </w:r>
      <w:r>
        <w:rPr>
          <w:rFonts w:ascii="Times New Roman;Times;Serif" w:hAnsi="Times New Roman;Times;Serif"/>
          <w:b w:val="false"/>
          <w:i/>
          <w:caps w:val="false"/>
          <w:smallCaps w:val="false"/>
          <w:sz w:val="20"/>
        </w:rPr>
        <w:t>Risk Factors — Risks Related to Doing Business in Hong Kong — Intercont is an offshore holding company incorporated in the Cayman Islands. As a holding company with no material operations, Intercont’s operations are conducted by its subsidiaries in Asia, currently mostly in Hong Kong</w:t>
      </w:r>
      <w:r>
        <w:rPr>
          <w:rFonts w:ascii="Times New Roman;Times;Serif" w:hAnsi="Times New Roman;Times;Serif"/>
          <w:b w:val="false"/>
          <w:i w:val="false"/>
          <w:caps w:val="false"/>
          <w:smallCaps w:val="false"/>
          <w:sz w:val="20"/>
        </w:rPr>
        <w:t>” commencing on page 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competitive industry and a highly competitive market. We may be subject to a variety of laws and other obligations regarding competition laws in Hong Kong, and any failure to comply with applicable laws and obligations could have a material and adverse effect on our business, financial condition and results of operations. We face significant competition in the market due to the presence of a large amount shipping service providers. See “</w:t>
      </w:r>
      <w:r>
        <w:rPr>
          <w:rFonts w:ascii="Times New Roman;Times;Serif" w:hAnsi="Times New Roman;Times;Serif"/>
          <w:b w:val="false"/>
          <w:i/>
          <w:caps w:val="false"/>
          <w:smallCaps w:val="false"/>
          <w:sz w:val="20"/>
        </w:rPr>
        <w:t>Risk Factors — Risks Related to Doing Business in Hong Kong — Failure to comply with Hong Kong Competition Law may result in material and adverse effect on our business, financial condition and results of operations</w:t>
      </w:r>
      <w:r>
        <w:rPr>
          <w:rFonts w:ascii="Times New Roman;Times;Serif" w:hAnsi="Times New Roman;Times;Serif"/>
          <w:b w:val="false"/>
          <w:i w:val="false"/>
          <w:caps w:val="false"/>
          <w:smallCaps w:val="false"/>
          <w:sz w:val="20"/>
        </w:rPr>
        <w:t>” commencing on page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number of prohibitions, restrictions and potential delisting risk under the Holding Foreign Companies Accountable Act, or the “HFCAA”. Pursuant to the HFCAA and the related regulations, if we have filed an audit report issued by a registered public accounting firm that the Public Company Accounting Oversight Board (the “PCAOB”) has determined that it is unable to inspect and investigate completely, the United States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Our former auditor, UHY LLP (“UHY”), is an independent registered public accounting firm that is headquartered in New York, New York. UHY has been inspected by the PCAOB on a regular basis and is not among such accounting firms. Our current auditor, Assentsure PAC (“Assentsure”), is an independent registered public accounting firm that is headquartered in Singapore, Singapore and is not among such accounting firms. In August 2022, the PCAOB, the China Securities Regulatory Commission, or the CSRC, and the Ministry of Finance of the PRC signed a Statement of Protocol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On February 24, 2023, the CSRC, the Ministry of Finance, the State Secrecy Administration, and the State Archives Bureau jointly issued the Provisions on Strengthening Confidentiality and Archives Administration in Respect of Overseas Issuance and Listing of Securities by Domestic Enterprises, or the Provisions, which aim to standardize confidentiality and archives administration in respect of direct or indirect overseas issuance of securities by domestic enterprises of the PRC and came into effect on March 31, 2023. Given that the Statement of Protocol and the Provisions have just been issued and that official guidance and related implementation rules of the Provisions have not been issued and the Provisions may be subject to further clarifications during subsequent implementation, should PRC authorities obstruct or otherwise fail to facilitate the PCAOB’s access in the future, the PCAOB may consider the need to issue a new determination. However, if the PCAOB determines in the future that it no longer has full access to inspect and investigate completely accounting firms in mainland China and Hong Kong and if we use an accounting firm headquartered in one of these jurisdictions to issue an audit report on our financial statements filed with the SEC by then, we may be identified as a Commission-Identified Issuer following our filing of an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If Intercont’s Class A Ordinary Shares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Intercont’s Class A Ordinary Shares when you wish to do so, and the risk and uncertainty associated with delisting would have a negative impact on the price of Intercont’s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that the PRC government recently initiated a series of statements and regulatory developments to regulate business operations in the mainland of China, some of which were with little advance notice, including cracking down on illegal activities in the securities market, enhancing supervision over China-based companies listed overseas, adopting new measures to extend the scope of cybersecurity reviews, expanding the efforts in anti-monopoly enforcement. Because we conduct substantially all of our businesses in Hong Kong and Singapore and have no operations in the mainland of China, we do not believe these statements and regulatory developments would apply to us. However, should these statements or regulatory actions apply to us, including our Hong Kong operations, in the future, or if we expand our business operations into the mainland of China in some ways such that we become subject to them to a greater extent, our ability to conduct our business, invest into the mainland of China as foreign investments or accept foreign investments, or list on a U.S. or other overseas exchange may be restricted. The failure to comply with these PRC regulations could result in penalties and other regulatory actions against us and may materially and adversely affect our business and results of operations. In addition, the PRC government has significant authority to intervene or influence the mainland of China or Hong Kong operations of an offshore holding company, such as ours, at any time. These risks, together with uncertainties in the PRC legal system and the interpretation and enforcement of PRC laws, regulations, and policies, could hinder our ability to offer or continue to offer Intercont’s Class A Ordinary Shares, result in a material adverse change to our business operations, and damage our reputation, which could cause Intercont’s Class A Ordinary Shares to significantly decline in value or become worthless. For a detailed description of risks relating to doing business in Hong Kong, see “</w:t>
      </w:r>
      <w:r>
        <w:rPr>
          <w:rFonts w:ascii="Times New Roman;Times;Serif" w:hAnsi="Times New Roman;Times;Serif"/>
          <w:b w:val="false"/>
          <w:i/>
          <w:caps w:val="false"/>
          <w:smallCaps w:val="false"/>
          <w:sz w:val="20"/>
        </w:rPr>
        <w:t>Risk Factors — Risks Related to Doing Business in Hong Kong</w:t>
      </w:r>
      <w:r>
        <w:rPr>
          <w:rFonts w:ascii="Times New Roman;Times;Serif" w:hAnsi="Times New Roman;Times;Serif"/>
          <w:b w:val="false"/>
          <w:i w:val="false"/>
          <w:caps w:val="false"/>
          <w:smallCaps w:val="false"/>
          <w:sz w:val="20"/>
        </w:rPr>
        <w:t>” commencing on page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that, on February 17, 2023, the CSRC released the Trial Administrative Measures of Overseas Securities Offering and Listing by Domestic Companies, or the Trial Measures, and five supporting guidelines, which came into effect on March 31, 2023. Pursuant to the Trial Measures, PRC domestic companies that seek to offer or list securities overseas, both directly and indirectly, should fulfill the filing procedure to the CSRC. On the same day, the CSRC held a press conference for the release of the Trial Measures and issued the Notice on Administration for the Filing of Overseas Offering and Listing by Domestic Companies, which, among others, clarifies that (i) a six-month transition period will be granted to PRC domestic companies which, prior to the effective date of the Trial Measures, have already obtained the approval from overseas regulatory authorities or stock exchanges, such as completion of registration in the market of the United States, but have not completed the overseas listing; and (ii) PRC domestic companies that have already submitted valid applications for overseas offering and listing but have not obtained approval from overseas regulatory authorities or stock exchanges on or prior to the effective date of the Trial Measures, may reasonably arrange the timing for submitting their filing applications with the CSRC, and shall complete the filing before completion of their overseas offering and listing. To determine whether an overseas offering and listing will be deemed as “the indirect overseas offering and listing” by a PRC domestic company, the Trial Measures provides that (i) any overseas offering and listing made by an issuer that meets both the following explicit criteria will be determined as an “indirect overseas offering and listing”: (a) 50% or more of the issuer’s operating revenue, total profit, total assets or net assets as documented in its audited consolidated financial statements for the most recent accounting year is accounted for by PRC domestic companies (“Criteria A”), and (b) the main parts of the issuer’s business activities are conducted in mainland China, or its main places of business are located in mainland China, or the senior managers in charge of its business operation and management are mostly Chinese citizens or domiciled in mainland China; and (ii) the determination as to whether or not an overseas offering and listing by a PRC domestic company is an “indirect overseas offering and listing”, shall be made on a “substance over form” basis (the “Discretional Clause”). We do not believe that we are subject to the Trial Measures because we conduct substantially all of our businesses in Hong Kong and Singapore, and have no operations in the mainland of China and our operating revenue, total profit, total assets or net assets were not derived from PRC domestic companies. However, we cannot rule out the possibility that CSRC would take a different view when determining whether to apply the Discretional Clause on us. As a result, if the CSRC determines that we shall complete the filing based on the Discretional Clause and we are later required to fulfill the filing procedure with the CSRC, we cannot guarantee that we will complete the CSRC filing procedure.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Lawrence Chan &amp; Co., our counsel with respect to Hong Kong law, has advised us that judgment of United States courts will not be directly enforced in Hong Kong. There are currently no treaties or other arrangements providing for reciprocal enforcement of foreign judgments between Hong Kong and the U.S. However, an action can be brought upon a foreign judgment in Hong Kong courts. That is to say, a foreign judgment itself may form the basis of a cause of action since the judgment may be regarded as creating a debt between the parties to it. In an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toa defendant in an action in Hong Kong brought on the basis of a foreign judgment include lack of jurisdiction, breach of natural justice, fraud, and contrary to public policy. However, a separate legal action for debt must be commenced in Hong Kong in order to recover such debt from the judgment debtor.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under the federal securities laws and will be subject to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an applicable prospectus supplement, our share purchase contracts, share purchase units, warrants, debt securities, rights and units will not be listed on any securities or stock exchange or on any automated dealer quotation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offer or sell our securities unless accompanied by a prospectus supplement. The information contained or incorporated in this prospectus or in any prospectus supplement is accurate only as of the date of this prospectus, or such prospectus supplement, as applicable, regardless of the time of delivery of this prospectus or any sale of our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6245"/>
        <w:gridCol w:w="275"/>
      </w:tblGrid>
      <w:tr>
        <w:trPr/>
        <w:tc>
          <w:tcPr>
            <w:tcW w:w="6245" w:type="dxa"/>
            <w:tcBorders/>
            <w:shd w:fill="CCEEFF" w:val="clear"/>
            <w:vAlign w:val="center"/>
          </w:tcPr>
          <w:p>
            <w:pPr>
              <w:pStyle w:val="TableContents"/>
              <w:bidi w:val="0"/>
              <w:spacing w:before="0" w:after="283"/>
              <w:jc w:val="left"/>
              <w:rPr/>
            </w:pPr>
            <w:hyperlink w:anchor="a_001a">
              <w:r>
                <w:rPr>
                  <w:rStyle w:val="InternetLink"/>
                  <w:rFonts w:ascii="Times New Roman;Times;Serif" w:hAnsi="Times New Roman;Times;Serif"/>
                  <w:sz w:val="20"/>
                </w:rPr>
                <w:t>ABOUT THIS PROSPECTUS</w:t>
              </w:r>
            </w:hyperlink>
          </w:p>
        </w:tc>
        <w:tc>
          <w:tcPr>
            <w:tcW w:w="275" w:type="dxa"/>
            <w:tcBorders/>
            <w:shd w:fill="CCEEFF" w:val="clear"/>
            <w:vAlign w:val="center"/>
          </w:tcPr>
          <w:p>
            <w:pPr>
              <w:pStyle w:val="TableContents"/>
              <w:bidi w:val="0"/>
              <w:spacing w:before="0" w:after="283"/>
              <w:jc w:val="center"/>
              <w:rPr/>
            </w:pPr>
            <w:r>
              <w:rPr/>
              <w:t>ii</w:t>
            </w:r>
          </w:p>
        </w:tc>
      </w:tr>
      <w:tr>
        <w:trPr/>
        <w:tc>
          <w:tcPr>
            <w:tcW w:w="624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CAUTIONARY NOTE REGARDING FORWARD-LOOKING STATEMENTS</w:t>
              </w:r>
            </w:hyperlink>
          </w:p>
        </w:tc>
        <w:tc>
          <w:tcPr>
            <w:tcW w:w="275" w:type="dxa"/>
            <w:tcBorders/>
            <w:shd w:fill="FFFFFF" w:val="clear"/>
            <w:vAlign w:val="center"/>
          </w:tcPr>
          <w:p>
            <w:pPr>
              <w:pStyle w:val="TableContents"/>
              <w:bidi w:val="0"/>
              <w:spacing w:before="0" w:after="283"/>
              <w:jc w:val="center"/>
              <w:rPr/>
            </w:pPr>
            <w:r>
              <w:rPr/>
              <w:t>iii</w:t>
            </w:r>
          </w:p>
        </w:tc>
      </w:tr>
      <w:tr>
        <w:trPr/>
        <w:tc>
          <w:tcPr>
            <w:tcW w:w="624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PROSPECTUS SUMMARY</w:t>
              </w:r>
            </w:hyperlink>
          </w:p>
        </w:tc>
        <w:tc>
          <w:tcPr>
            <w:tcW w:w="275" w:type="dxa"/>
            <w:tcBorders/>
            <w:shd w:fill="CCEEFF" w:val="clear"/>
            <w:vAlign w:val="center"/>
          </w:tcPr>
          <w:p>
            <w:pPr>
              <w:pStyle w:val="TableContents"/>
              <w:bidi w:val="0"/>
              <w:spacing w:before="0" w:after="283"/>
              <w:jc w:val="center"/>
              <w:rPr/>
            </w:pPr>
            <w:r>
              <w:rPr/>
              <w:t>1</w:t>
            </w:r>
          </w:p>
        </w:tc>
      </w:tr>
      <w:tr>
        <w:trPr/>
        <w:tc>
          <w:tcPr>
            <w:tcW w:w="6245" w:type="dxa"/>
            <w:tcBorders/>
            <w:shd w:fill="FFFF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RISK FACTORS</w:t>
              </w:r>
            </w:hyperlink>
          </w:p>
        </w:tc>
        <w:tc>
          <w:tcPr>
            <w:tcW w:w="275" w:type="dxa"/>
            <w:tcBorders/>
            <w:shd w:fill="FFFFFF" w:val="clear"/>
            <w:vAlign w:val="center"/>
          </w:tcPr>
          <w:p>
            <w:pPr>
              <w:pStyle w:val="TableContents"/>
              <w:bidi w:val="0"/>
              <w:spacing w:before="0" w:after="283"/>
              <w:jc w:val="center"/>
              <w:rPr/>
            </w:pPr>
            <w:r>
              <w:rPr/>
              <w:t>9</w:t>
            </w:r>
          </w:p>
        </w:tc>
      </w:tr>
      <w:tr>
        <w:trPr/>
        <w:tc>
          <w:tcPr>
            <w:tcW w:w="6245" w:type="dxa"/>
            <w:tcBorders/>
            <w:shd w:fill="CCEEFF" w:val="clear"/>
            <w:vAlign w:val="center"/>
          </w:tcPr>
          <w:p>
            <w:pPr>
              <w:pStyle w:val="TableContents"/>
              <w:bidi w:val="0"/>
              <w:spacing w:before="0" w:after="283"/>
              <w:jc w:val="left"/>
              <w:rPr/>
            </w:pPr>
            <w:hyperlink w:anchor="a_003">
              <w:r>
                <w:rPr>
                  <w:rStyle w:val="InternetLink"/>
                </w:rPr>
                <w:t>OFFER STATISTICS AND EXPECTED TIMETABLE</w:t>
              </w:r>
            </w:hyperlink>
          </w:p>
        </w:tc>
        <w:tc>
          <w:tcPr>
            <w:tcW w:w="275" w:type="dxa"/>
            <w:tcBorders/>
            <w:shd w:fill="CCEEFF" w:val="clear"/>
            <w:vAlign w:val="center"/>
          </w:tcPr>
          <w:p>
            <w:pPr>
              <w:pStyle w:val="TableContents"/>
              <w:bidi w:val="0"/>
              <w:spacing w:before="0" w:after="283"/>
              <w:jc w:val="center"/>
              <w:rPr/>
            </w:pPr>
            <w:r>
              <w:rPr/>
              <w:t>32</w:t>
            </w:r>
          </w:p>
        </w:tc>
      </w:tr>
      <w:tr>
        <w:trPr/>
        <w:tc>
          <w:tcPr>
            <w:tcW w:w="624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CAPITALIZATION AND INDEBTEDNESS</w:t>
              </w:r>
            </w:hyperlink>
          </w:p>
        </w:tc>
        <w:tc>
          <w:tcPr>
            <w:tcW w:w="275" w:type="dxa"/>
            <w:tcBorders/>
            <w:shd w:fill="FFFFFF" w:val="clear"/>
            <w:vAlign w:val="center"/>
          </w:tcPr>
          <w:p>
            <w:pPr>
              <w:pStyle w:val="TableContents"/>
              <w:bidi w:val="0"/>
              <w:spacing w:before="0" w:after="283"/>
              <w:jc w:val="center"/>
              <w:rPr/>
            </w:pPr>
            <w:r>
              <w:rPr/>
              <w:t>33</w:t>
            </w:r>
          </w:p>
        </w:tc>
      </w:tr>
      <w:tr>
        <w:trPr/>
        <w:tc>
          <w:tcPr>
            <w:tcW w:w="624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DILUTION</w:t>
              </w:r>
            </w:hyperlink>
          </w:p>
        </w:tc>
        <w:tc>
          <w:tcPr>
            <w:tcW w:w="275" w:type="dxa"/>
            <w:tcBorders/>
            <w:shd w:fill="CCEEFF" w:val="clear"/>
            <w:vAlign w:val="center"/>
          </w:tcPr>
          <w:p>
            <w:pPr>
              <w:pStyle w:val="TableContents"/>
              <w:bidi w:val="0"/>
              <w:spacing w:before="0" w:after="283"/>
              <w:jc w:val="center"/>
              <w:rPr/>
            </w:pPr>
            <w:r>
              <w:rPr/>
              <w:t>34</w:t>
            </w:r>
          </w:p>
        </w:tc>
      </w:tr>
      <w:tr>
        <w:trPr/>
        <w:tc>
          <w:tcPr>
            <w:tcW w:w="624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275" w:type="dxa"/>
            <w:tcBorders/>
            <w:shd w:fill="FFFFFF" w:val="clear"/>
            <w:vAlign w:val="center"/>
          </w:tcPr>
          <w:p>
            <w:pPr>
              <w:pStyle w:val="TableContents"/>
              <w:bidi w:val="0"/>
              <w:spacing w:before="0" w:after="283"/>
              <w:jc w:val="center"/>
              <w:rPr/>
            </w:pPr>
            <w:r>
              <w:rPr/>
              <w:t>35</w:t>
            </w:r>
          </w:p>
        </w:tc>
      </w:tr>
      <w:tr>
        <w:trPr/>
        <w:tc>
          <w:tcPr>
            <w:tcW w:w="624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DIVIDENDS AND DIVIDEND POLICY</w:t>
              </w:r>
            </w:hyperlink>
          </w:p>
        </w:tc>
        <w:tc>
          <w:tcPr>
            <w:tcW w:w="275" w:type="dxa"/>
            <w:tcBorders/>
            <w:shd w:fill="CCEEFF" w:val="clear"/>
            <w:vAlign w:val="center"/>
          </w:tcPr>
          <w:p>
            <w:pPr>
              <w:pStyle w:val="TableContents"/>
              <w:bidi w:val="0"/>
              <w:spacing w:before="0" w:after="283"/>
              <w:jc w:val="center"/>
              <w:rPr/>
            </w:pPr>
            <w:r>
              <w:rPr/>
              <w:t>36</w:t>
            </w:r>
          </w:p>
        </w:tc>
      </w:tr>
      <w:tr>
        <w:trPr/>
        <w:tc>
          <w:tcPr>
            <w:tcW w:w="624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SHARE CAPITAL</w:t>
              </w:r>
            </w:hyperlink>
          </w:p>
        </w:tc>
        <w:tc>
          <w:tcPr>
            <w:tcW w:w="275" w:type="dxa"/>
            <w:tcBorders/>
            <w:shd w:fill="FFFFFF" w:val="clear"/>
            <w:vAlign w:val="center"/>
          </w:tcPr>
          <w:p>
            <w:pPr>
              <w:pStyle w:val="TableContents"/>
              <w:bidi w:val="0"/>
              <w:spacing w:before="0" w:after="283"/>
              <w:jc w:val="center"/>
              <w:rPr/>
            </w:pPr>
            <w:r>
              <w:rPr/>
              <w:t>37</w:t>
            </w:r>
          </w:p>
        </w:tc>
      </w:tr>
      <w:tr>
        <w:trPr/>
        <w:tc>
          <w:tcPr>
            <w:tcW w:w="624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DEBT SECURITIES</w:t>
              </w:r>
            </w:hyperlink>
          </w:p>
        </w:tc>
        <w:tc>
          <w:tcPr>
            <w:tcW w:w="275" w:type="dxa"/>
            <w:tcBorders/>
            <w:shd w:fill="CCEEFF" w:val="clear"/>
            <w:vAlign w:val="center"/>
          </w:tcPr>
          <w:p>
            <w:pPr>
              <w:pStyle w:val="TableContents"/>
              <w:bidi w:val="0"/>
              <w:spacing w:before="0" w:after="283"/>
              <w:jc w:val="center"/>
              <w:rPr/>
            </w:pPr>
            <w:r>
              <w:rPr/>
              <w:t>46</w:t>
            </w:r>
          </w:p>
        </w:tc>
      </w:tr>
      <w:tr>
        <w:trPr/>
        <w:tc>
          <w:tcPr>
            <w:tcW w:w="624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WARRANTS</w:t>
              </w:r>
            </w:hyperlink>
          </w:p>
        </w:tc>
        <w:tc>
          <w:tcPr>
            <w:tcW w:w="275" w:type="dxa"/>
            <w:tcBorders/>
            <w:shd w:fill="FFFFFF" w:val="clear"/>
            <w:vAlign w:val="center"/>
          </w:tcPr>
          <w:p>
            <w:pPr>
              <w:pStyle w:val="TableContents"/>
              <w:bidi w:val="0"/>
              <w:spacing w:before="0" w:after="283"/>
              <w:jc w:val="center"/>
              <w:rPr/>
            </w:pPr>
            <w:r>
              <w:rPr/>
              <w:t>48</w:t>
            </w:r>
          </w:p>
        </w:tc>
      </w:tr>
      <w:tr>
        <w:trPr/>
        <w:tc>
          <w:tcPr>
            <w:tcW w:w="624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RIGHTS</w:t>
              </w:r>
            </w:hyperlink>
          </w:p>
        </w:tc>
        <w:tc>
          <w:tcPr>
            <w:tcW w:w="275" w:type="dxa"/>
            <w:tcBorders/>
            <w:shd w:fill="CCEEFF" w:val="clear"/>
            <w:vAlign w:val="center"/>
          </w:tcPr>
          <w:p>
            <w:pPr>
              <w:pStyle w:val="TableContents"/>
              <w:bidi w:val="0"/>
              <w:spacing w:before="0" w:after="283"/>
              <w:jc w:val="center"/>
              <w:rPr/>
            </w:pPr>
            <w:r>
              <w:rPr/>
              <w:t>50</w:t>
            </w:r>
          </w:p>
        </w:tc>
      </w:tr>
      <w:tr>
        <w:trPr/>
        <w:tc>
          <w:tcPr>
            <w:tcW w:w="624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UNITS</w:t>
              </w:r>
            </w:hyperlink>
          </w:p>
        </w:tc>
        <w:tc>
          <w:tcPr>
            <w:tcW w:w="275" w:type="dxa"/>
            <w:tcBorders/>
            <w:shd w:fill="FFFFFF" w:val="clear"/>
            <w:vAlign w:val="center"/>
          </w:tcPr>
          <w:p>
            <w:pPr>
              <w:pStyle w:val="TableContents"/>
              <w:bidi w:val="0"/>
              <w:spacing w:before="0" w:after="283"/>
              <w:jc w:val="center"/>
              <w:rPr/>
            </w:pPr>
            <w:r>
              <w:rPr/>
              <w:t>51</w:t>
            </w:r>
          </w:p>
        </w:tc>
      </w:tr>
      <w:tr>
        <w:trPr/>
        <w:tc>
          <w:tcPr>
            <w:tcW w:w="624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PLAN OF DISTRIBUTION</w:t>
              </w:r>
            </w:hyperlink>
          </w:p>
        </w:tc>
        <w:tc>
          <w:tcPr>
            <w:tcW w:w="275" w:type="dxa"/>
            <w:tcBorders/>
            <w:shd w:fill="CCEEFF" w:val="clear"/>
            <w:vAlign w:val="center"/>
          </w:tcPr>
          <w:p>
            <w:pPr>
              <w:pStyle w:val="TableContents"/>
              <w:bidi w:val="0"/>
              <w:spacing w:before="0" w:after="283"/>
              <w:jc w:val="center"/>
              <w:rPr/>
            </w:pPr>
            <w:r>
              <w:rPr/>
              <w:t>52</w:t>
            </w:r>
          </w:p>
        </w:tc>
      </w:tr>
      <w:tr>
        <w:trPr/>
        <w:tc>
          <w:tcPr>
            <w:tcW w:w="624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TAXATION</w:t>
              </w:r>
            </w:hyperlink>
          </w:p>
        </w:tc>
        <w:tc>
          <w:tcPr>
            <w:tcW w:w="275" w:type="dxa"/>
            <w:tcBorders/>
            <w:shd w:fill="FFFFFF" w:val="clear"/>
            <w:vAlign w:val="center"/>
          </w:tcPr>
          <w:p>
            <w:pPr>
              <w:pStyle w:val="TableContents"/>
              <w:bidi w:val="0"/>
              <w:spacing w:before="0" w:after="283"/>
              <w:jc w:val="center"/>
              <w:rPr/>
            </w:pPr>
            <w:r>
              <w:rPr/>
              <w:t>54</w:t>
            </w:r>
          </w:p>
        </w:tc>
      </w:tr>
      <w:tr>
        <w:trPr/>
        <w:tc>
          <w:tcPr>
            <w:tcW w:w="624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EXPENSES</w:t>
              </w:r>
            </w:hyperlink>
          </w:p>
        </w:tc>
        <w:tc>
          <w:tcPr>
            <w:tcW w:w="275" w:type="dxa"/>
            <w:tcBorders/>
            <w:shd w:fill="CCEEFF" w:val="clear"/>
            <w:vAlign w:val="center"/>
          </w:tcPr>
          <w:p>
            <w:pPr>
              <w:pStyle w:val="TableContents"/>
              <w:bidi w:val="0"/>
              <w:spacing w:before="0" w:after="283"/>
              <w:jc w:val="center"/>
              <w:rPr/>
            </w:pPr>
            <w:r>
              <w:rPr/>
              <w:t>55</w:t>
            </w:r>
          </w:p>
        </w:tc>
      </w:tr>
      <w:tr>
        <w:trPr/>
        <w:tc>
          <w:tcPr>
            <w:tcW w:w="624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MATERIAL CONTRACTS</w:t>
              </w:r>
            </w:hyperlink>
          </w:p>
        </w:tc>
        <w:tc>
          <w:tcPr>
            <w:tcW w:w="275" w:type="dxa"/>
            <w:tcBorders/>
            <w:shd w:fill="FFFFFF" w:val="clear"/>
            <w:vAlign w:val="center"/>
          </w:tcPr>
          <w:p>
            <w:pPr>
              <w:pStyle w:val="TableContents"/>
              <w:bidi w:val="0"/>
              <w:spacing w:before="0" w:after="283"/>
              <w:jc w:val="center"/>
              <w:rPr/>
            </w:pPr>
            <w:r>
              <w:rPr/>
              <w:t>56</w:t>
            </w:r>
          </w:p>
        </w:tc>
      </w:tr>
      <w:tr>
        <w:trPr/>
        <w:tc>
          <w:tcPr>
            <w:tcW w:w="624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MATERIAL CHANGES</w:t>
              </w:r>
            </w:hyperlink>
          </w:p>
        </w:tc>
        <w:tc>
          <w:tcPr>
            <w:tcW w:w="275" w:type="dxa"/>
            <w:tcBorders/>
            <w:shd w:fill="CCEEFF" w:val="clear"/>
            <w:vAlign w:val="center"/>
          </w:tcPr>
          <w:p>
            <w:pPr>
              <w:pStyle w:val="TableContents"/>
              <w:bidi w:val="0"/>
              <w:spacing w:before="0" w:after="283"/>
              <w:jc w:val="center"/>
              <w:rPr/>
            </w:pPr>
            <w:r>
              <w:rPr/>
              <w:t>57</w:t>
            </w:r>
          </w:p>
        </w:tc>
      </w:tr>
      <w:tr>
        <w:trPr/>
        <w:tc>
          <w:tcPr>
            <w:tcW w:w="624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LEGAL MATTERS</w:t>
              </w:r>
            </w:hyperlink>
          </w:p>
        </w:tc>
        <w:tc>
          <w:tcPr>
            <w:tcW w:w="275" w:type="dxa"/>
            <w:tcBorders/>
            <w:shd w:fill="FFFFFF" w:val="clear"/>
            <w:vAlign w:val="center"/>
          </w:tcPr>
          <w:p>
            <w:pPr>
              <w:pStyle w:val="TableContents"/>
              <w:bidi w:val="0"/>
              <w:spacing w:before="0" w:after="283"/>
              <w:jc w:val="center"/>
              <w:rPr/>
            </w:pPr>
            <w:r>
              <w:rPr/>
              <w:t>58</w:t>
            </w:r>
          </w:p>
        </w:tc>
      </w:tr>
      <w:tr>
        <w:trPr/>
        <w:tc>
          <w:tcPr>
            <w:tcW w:w="624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EXPERTS</w:t>
              </w:r>
            </w:hyperlink>
          </w:p>
        </w:tc>
        <w:tc>
          <w:tcPr>
            <w:tcW w:w="275" w:type="dxa"/>
            <w:tcBorders/>
            <w:shd w:fill="CCEEFF" w:val="clear"/>
            <w:vAlign w:val="center"/>
          </w:tcPr>
          <w:p>
            <w:pPr>
              <w:pStyle w:val="TableContents"/>
              <w:bidi w:val="0"/>
              <w:spacing w:before="0" w:after="283"/>
              <w:jc w:val="center"/>
              <w:rPr/>
            </w:pPr>
            <w:r>
              <w:rPr/>
              <w:t>58</w:t>
            </w:r>
          </w:p>
        </w:tc>
      </w:tr>
      <w:tr>
        <w:trPr/>
        <w:tc>
          <w:tcPr>
            <w:tcW w:w="6245"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ENFORCEABILITY OF CIVIL LIABILITIES</w:t>
              </w:r>
            </w:hyperlink>
          </w:p>
        </w:tc>
        <w:tc>
          <w:tcPr>
            <w:tcW w:w="275" w:type="dxa"/>
            <w:tcBorders/>
            <w:shd w:fill="FFFFFF" w:val="clear"/>
            <w:vAlign w:val="center"/>
          </w:tcPr>
          <w:p>
            <w:pPr>
              <w:pStyle w:val="TableContents"/>
              <w:bidi w:val="0"/>
              <w:spacing w:before="0" w:after="283"/>
              <w:jc w:val="center"/>
              <w:rPr/>
            </w:pPr>
            <w:r>
              <w:rPr/>
              <w:t>59</w:t>
            </w:r>
          </w:p>
        </w:tc>
      </w:tr>
      <w:tr>
        <w:trPr/>
        <w:tc>
          <w:tcPr>
            <w:tcW w:w="624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INCORPORATION OF CERTAIN INFORMATION BY REFERENCE</w:t>
              </w:r>
            </w:hyperlink>
          </w:p>
        </w:tc>
        <w:tc>
          <w:tcPr>
            <w:tcW w:w="275" w:type="dxa"/>
            <w:tcBorders/>
            <w:shd w:fill="CCEEFF" w:val="clear"/>
            <w:vAlign w:val="center"/>
          </w:tcPr>
          <w:p>
            <w:pPr>
              <w:pStyle w:val="TableContents"/>
              <w:bidi w:val="0"/>
              <w:spacing w:before="0" w:after="283"/>
              <w:jc w:val="center"/>
              <w:rPr/>
            </w:pPr>
            <w:r>
              <w:rPr/>
              <w:t>61</w:t>
            </w:r>
          </w:p>
        </w:tc>
      </w:tr>
      <w:tr>
        <w:trPr/>
        <w:tc>
          <w:tcPr>
            <w:tcW w:w="6245"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WHERE YOU CAN FIND MORE INFORMATION</w:t>
              </w:r>
            </w:hyperlink>
          </w:p>
        </w:tc>
        <w:tc>
          <w:tcPr>
            <w:tcW w:w="275" w:type="dxa"/>
            <w:tcBorders/>
            <w:shd w:fill="FFFFFF" w:val="clear"/>
            <w:vAlign w:val="center"/>
          </w:tcPr>
          <w:p>
            <w:pPr>
              <w:pStyle w:val="TableContents"/>
              <w:bidi w:val="0"/>
              <w:spacing w:before="0" w:after="283"/>
              <w:jc w:val="center"/>
              <w:rPr/>
            </w:pPr>
            <w:r>
              <w:rPr/>
              <w:t>62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or any prospectus supplement or amendment. Neither we, nor the placement agent, have authorized any other person to provide you with information that is different from, or adds to, that contained in this prospectus. If anyone provides you with different or inconsistent information, you should not rely on it. Neither we nor the placement agent take responsibility for, and can provide no assurance as to the reliability of, any other information that others may give you. You should assume that the information contained in this prospectus or any free writing prospectus is accurate only as of the date of this prospectus, regardless of the time of delivery of this prospectus or of any sale of our securities. Our business, financial condition, results of operations and prospects may have changed since that date. We are not making an offer of any securities in any jurisdiction in which such offer is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public offering and the distribution of this prospectus applicable to that jurisdiction.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a"/>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utilizing a “shelf” registration process. Under this shelf registration process, we may, from time to time, sell the securities described in this prospectus in one or more offerings, up to a total offering amount of $200,000,000.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This prospectus and any accompanying prospectus supplement do not contain all of the information included in the registration statement. We have omitted parts of the registration statement in accordance with the rules and regulations of the SEC. Statements contained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these matters. This prospectus may be supplemented by a prospectus supplement that may add, update, or change information contained or incorporated by reference in this prospectus. You should read both this prospectus and any prospectus supplement or other offering materials together with additional information described under the headings “Where You Can Find Additional Information” and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under this shelf registration, we will provide a prospectus supplement that will contain certain specific information about the terms of that offering, including a description of any risks related to the offering. A prospectus supplement may also add, update, or change information contained in this prospectus (including documents incorporated herein by reference).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“Incorporation of Documents by Reference” before investing in any of the securities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prospectus is accurate as of the date on the front cover. Information incorporated by reference into this prospectus is accurate as of the date of the document from which the information is incorporated. You should not assume that the information contained in this prospectus is accurate as of any other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provided or incorporated by reference in this prospectus or in the prospectus supplement. We have not authorized anyone to provide you with additional or different information. This document may only be used where it is legal to sell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 applicable prospectus supplement,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Conventions That Apply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all numbers and financial information are presented in U.S. Dollars.</w:t>
      </w:r>
    </w:p>
    <w:p>
      <w:pPr>
        <w:pStyle w:val="TextBody"/>
        <w:bidi w:val="0"/>
        <w:spacing w:before="0" w:after="0"/>
        <w:ind w:left="960" w:right="0" w:hanging="480"/>
        <w:jc w:val="both"/>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w:t>
            </w:r>
            <w:r>
              <w:rPr>
                <w:rFonts w:ascii="Times New Roman;Times;Serif" w:hAnsi="Times New Roman;Times;Serif"/>
                <w:i/>
                <w:sz w:val="20"/>
              </w:rPr>
              <w:t>Exchange Act” refers to the Securities Exchange Act of 1934, as amended.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i/>
              </w:rPr>
              <w:t>Hong Kong” or “HK” refers to the Hong Kong Special Administrative Region of the People’s Republic of China.</w:t>
            </w:r>
          </w:p>
        </w:tc>
      </w:tr>
    </w:tbl>
    <w:p>
      <w:pPr>
        <w:pStyle w:val="TextBody"/>
        <w:bidi w:val="0"/>
        <w:spacing w:before="0" w:after="0"/>
        <w:ind w:left="960" w:right="0" w:hanging="480"/>
        <w:jc w:val="both"/>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pPr>
            <w:r>
              <w:rPr/>
              <w:t>“</w:t>
            </w:r>
            <w:r>
              <w:rPr>
                <w:i/>
              </w:rPr>
              <w:t>HKD”, “HK$” or “H.K. Dollars” refers to the official legal currency of Hong Kong.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i/>
              </w:rPr>
              <w:t>PRC” or “China” refers to the People’s Republic of China, including Hong Kong Special Administrative Region (“Hong Kong”), Macau Special Administrative Region (“Macau”) and Taiwan, for purposes of this prospectus only; and in the future filings of the Company’s registration statements under the Securities Act of 1933, as amended, or its periodic reports under the Securities Exchange Act of 1934, as amended, the definition of China or PRC will include Hong Kong, Macau or Taiwan. And only in the context of describing PRC laws, the PRC laws do not include any law, regulation, statute, rule, order, decree, notice, and supreme court’s judicial interpretation or other legislation of the Hong Kong Special Administrative Region, the Macau Special Administrative Region or Taiwan.</w:t>
            </w:r>
          </w:p>
        </w:tc>
      </w:tr>
    </w:tbl>
    <w:p>
      <w:pPr>
        <w:pStyle w:val="TextBody"/>
        <w:bidi w:val="0"/>
        <w:spacing w:before="0" w:after="0"/>
        <w:ind w:left="960" w:right="0" w:hanging="48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w:t>
            </w:r>
            <w:r>
              <w:rPr>
                <w:i/>
              </w:rPr>
              <w:t>Securities Act” refers to the Securities Act of 1933, as amended.</w:t>
            </w:r>
          </w:p>
        </w:tc>
      </w:tr>
    </w:tbl>
    <w:p>
      <w:pPr>
        <w:pStyle w:val="TextBody"/>
        <w:bidi w:val="0"/>
        <w:spacing w:before="0" w:after="0"/>
        <w:ind w:left="960" w:right="0" w:hanging="48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7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pPr>
            <w:r>
              <w:rPr/>
              <w:t>“</w:t>
            </w:r>
            <w:r>
              <w:rPr>
                <w:i/>
              </w:rPr>
              <w:t>$”, “USD”, “US$” or “U.S. Dollars” refers to the official legal currency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U.S. dollars. Although our operations may expose us to certain levels of foreign currency risk, our transactions are predominantly denominated in U.S. dollar and a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combined statements of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site addresses in this prospectus are included for reference only and the information contained in any website, including our website, is not incorporated by reference into, and does not form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1" w:color="000000"/>
        </w:rPr>
      </w:pPr>
      <w:bookmarkStart w:id="4" w:name="a_001"/>
      <w:bookmarkEnd w:id="4"/>
      <w:r>
        <w:rPr>
          <w:rFonts w:ascii="Times New Roman;Times;Serif" w:hAnsi="Times New Roman;Times;Serif"/>
          <w:b/>
          <w:i w:val="false"/>
          <w:caps w:val="false"/>
          <w:smallCaps w:val="false"/>
          <w:sz w:val="20"/>
          <w:bdr w:val="single" w:sz="12" w:space="1" w:color="000000"/>
        </w:rPr>
        <w:t xml:space="preserve">PROSPECTUS SUMMARY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Mission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aim to leave green footprints across the oceans through our maritime shipping and seaborne pulping operation.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History and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Intercont is a Cayman exempted company formed on July 4, 2023. On March 27, 2024, Intercont completed a reorganization of its corporate structure. Intercont owns a 100% equity interest in each of Fortune Ocean Holdings Limited, a British Virgin Islands holding company formed on January 22, 2024 (“Fortune Ocean” or the “BVI Subsidiary”), and Singapore Openwindow Technology Pte. Ltd., a Singapore private company limited by shares formed on July 28, 2023 (“Openwindow” or the “Singapore Subsidiary”).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14, 2024, Fortune Ocean became the 100% owner of Top Wisdom Shipping Management Co., Limited, a Hong Kong company formed on February 1, 2013 (“Top Wisdom”), Top Creation International (HK) Limited, a Hong Kong company formed on July 29, 2011 (“Top Creation”), Top Moral Shipping Limited, a Hong Kong company formed on December 12, 2013 (“Top Moral”), Top Legend Shipping Co., Limited, a Hong Kong company formed on March 6, 2013 (“Top Legend”), and Max Bright Marine Service Co., Limited, a Hong Kong company formed on April 2, 2014 (“Max Bright,” and together with Top Wisdom, Top Creation, Top Moral, and Top Legend, the “Shipping Subsidiaries” or the “Hong Kong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Group has conducted its international maritime shipping business through the Shipping Subsidiaries since 2011. Openwindow plans to launch its seaborne pulping business in an orderly manner at an appropriate time once external economic and political conditions stabilize.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31, 2025, Intercont closed its initial public offering of its Ordinary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as of the date of this prospectus.</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772150" cy="2219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2150" cy="2219325"/>
                    </a:xfrm>
                    <a:prstGeom prst="rect">
                      <a:avLst/>
                    </a:prstGeom>
                  </pic:spPr>
                </pic:pic>
              </a:graphicData>
            </a:graphic>
          </wp:inline>
        </w:drawing>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Group operates its global maritime shipping services through its Shipping Subsidiaries. The Group’s global maritime shipping business consists of two revenue streams, time chartering and vessel management services. The Group’s global maritime shipping business generated US$25.1 million, US$25.5 million, US$32.4 million, US$12.6 million and US$13.4 million revenue in the fiscal years ended June 30, 2025, 2024 and 2023, and for the six months ended December 31, 2025 and 2024, respectively, which constitute 100% of the Group’s revenue.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Group plans to operate its seaborne pulping business through Openwindow and build its seaborne pulping business upon its long-established global maritime shipping operations. The Group expects to launch its seaborne pulping business through a combination of self-owned vessels and partnerships with other shipowners for leased-in vessels, sourcing its primary raw materials from North America through multiple channels. However, several changes in U.S. foreign trade and tax regulations during the past fiscal year have introduced uncertainties to the upstream supply. Once external economic and political conditions stabilize, the Company intends to initiate its seaborne business at an appropriate time.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Competitive Advantages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believe the following competitive strengths have contributed and will continue to contribute to our success.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Global maritime shipping Services</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Established Track Record in Global maritime shipping.    </w:t>
            </w:r>
            <w:r>
              <w:rPr/>
              <w:t>Our Shipping Subsidiaries and management team have been in the global maritime shipping business for over a decade. Over the years, our Shipping Subsidiaries have maintained stable business relationships with critical suppliers and customers.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Strong Balance Sheet Positioned for Additional Growth.    </w:t>
            </w:r>
            <w:r>
              <w:rPr/>
              <w:t>The Group has maintained a stable financial position, and has maintained its liquidity position throughout the downturn in shipping markets through prudent financial risk management. The Group’s moderate financial leverage, together with its current expectation of continued access to bank financing, has strongly positioned the Group to take advantage of further growth opportunities.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Experienced management team.    </w:t>
            </w:r>
            <w:r>
              <w:rPr/>
              <w:t>The Group has an experienced team. Each management team member of the Shipping Subsidiaries has over ten years of experience in global maritime shipping. The management team’s deep experience and extensive relationships with ship owners, shippers, lenders, insurers, and other industry participants facilitate the smooth operation of the global maritime shipping sector.</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Large cargo contracts base and strong relationships with key counterparties.    </w:t>
            </w:r>
            <w:r>
              <w:rPr/>
              <w:t>Intercont has built a significant base of cargo contracts. Intercont has also established strong long-term global relationships with shipping companies, shipyards, trading houses, and brokers. Thus, Intercont has been able to match demands with supplies in a timely and efficient manner. In addition, a large cargo contracts base helps Intercont to better position its routes geographically and enables it to mitigate market volatility.</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Seaborne Pulping Business</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Light-asset business model.    </w:t>
            </w:r>
            <w:r>
              <w:rPr/>
              <w:t>Unlike traditional shipping companies, Openwindow plans to operate the seaborne pulping business on a light-asset model. Openwindow expects to own only a limited number of pulping factory ships, but to lease most factory ships modified according to its specifications from shipowners. Under this model, it is expected that Openwindow may quickly scale up its business without incurring significant capital expenditures.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Product quality.    </w:t>
            </w:r>
            <w:r>
              <w:rPr/>
              <w:t>Utilizing advanced equipment and procedures, Openwindow expects to be able to deliver what we believe to be high-quality pulp. Openwindow’s pulp is expected to contain less undissolved fiber and impurities than the Chinese national standard, making it readily available for the downstream paper mills’ processing without further treatment. The higher quality pulp is expected to provide Openwindow an edge against some of its competitors.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Targeted market.    </w:t>
            </w:r>
            <w:r>
              <w:rPr/>
              <w:t>Openwindow’s pulp is expected to be suitable for making paper containers and packages, widely used in the logistics and delivery industry. With a large volume of online shopping transactions, we believe Asia’s market has a corresponding appetite for packaging materials. Openwindow expects to benefit from this specific segment of market.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Growth Strategies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Global maritime shipping Business</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Organically grow our fleet</w:t>
            </w:r>
            <w:r>
              <w:rPr/>
              <w:t>.    Our Shipping Subsidiaries plan to organically grow our fleet to increase our revenue and meet increasing demands. Our Shipping Subsidiaries expect to acquire two (2) additional vessels in the upcoming five years but our Shipping Subsidiaries have not entered into any contracts of acquisition of vessels as of the date of this prospectus.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Improve operation efficiency.    </w:t>
            </w:r>
            <w:r>
              <w:rPr/>
              <w:t>We plan to improve the efficiency of our operations, by introducing more advanced technology to empower the chartering service. By better connecting the needs of shipowners and charters, as well as more efficiently arranging the vessel space, we expect to further increase the profit margin of the chartering business.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Consolidate the financial conditions.    </w:t>
            </w:r>
            <w:r>
              <w:rPr/>
              <w:t>Some of our Shipping Subsidiaries’ vessels are financed, subjecting us to potential risks from interest rate changes and market volatilities. We plan to adjust our capital structure based on the outcome of our operations and market conditions to reduce risks.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Seaborne Pulping business</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Increase the number of pulping factory ships</w:t>
            </w:r>
            <w:r>
              <w:rPr/>
              <w:t>.    Openwindow has contacted a shipowner to set up a factory ship with specific specifications for its seaborne pulping operations and may proceed the cooperation depending on the external economic environment and market conditions. After it launches and operates steadily, Openwindow expects to duplicate the model to new factory ships. Openwindow expects to attain a fleet of eight (8) leased-in and self-owned factory ships in the future. Openwindow has not entered into any contracts to lease or acquire factory ships as of the date of this prospectus.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Expand product lines.    </w:t>
            </w:r>
            <w:r>
              <w:rPr/>
              <w:t>The current designs of Openwindow’s equipment and technology are expected to work best for making pulp out of old corrugated containers. Openwindow plans to improve its technology to manufacture pulp out of other materials and for other purposes.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Acquire more customers.    </w:t>
            </w:r>
            <w:r>
              <w:rPr/>
              <w:t>Openwindow’s seaborne pulping business is at an early stage. To further grow its business, Openwindow expects to expand its customer base for higher bargaining power and flexibility.</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January 2026 Extraordinary General Meeting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26, 2026, the Company held its extraordinary shareholder general meeting (the “First EGM”). At the First EGM, the shareholders of the Company adopted the following resolutions:</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 (equivalent to 38,780,628 shares on a post-consolidation basis) as Class A Shares.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Accounting Standards Codification Topic 260.</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All Ordinary shares and per share data for all periods in this filing have been retroactively restated accordingly, unless otherwise indicated.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June 2026 Extraordinary General Meeting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the Class A Meeting:</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82" w:type="dxa"/>
            <w:tcBorders/>
            <w:vAlign w:val="center"/>
          </w:tcPr>
          <w:p>
            <w:pPr>
              <w:pStyle w:val="TableContents"/>
              <w:bidi w:val="0"/>
              <w:spacing w:before="0" w:after="283"/>
              <w:jc w:val="both"/>
              <w:rPr/>
            </w:pPr>
            <w:r>
              <w:rPr/>
              <w:t>the newly increased and unissued 79,960,206,598.04 Ordinary Shares be redesignated as Class A Shares; and</w:t>
            </w:r>
          </w:p>
        </w:tc>
      </w:tr>
    </w:tbl>
    <w:p>
      <w:pPr>
        <w:pStyle w:val="TextBody"/>
        <w:bidi w:val="0"/>
        <w:spacing w:before="0" w:after="0"/>
        <w:ind w:left="144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283"/>
              <w:jc w:val="both"/>
              <w:rPr/>
            </w:pPr>
            <w:r>
              <w:rPr/>
              <w:t>the newly increased and unissued 19,999,793,401.96 Ordinary Shares be redesignated into Class B Shares.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pPr>
            <w:r>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the Second EGM:</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82" w:type="dxa"/>
            <w:tcBorders/>
            <w:vAlign w:val="center"/>
          </w:tcPr>
          <w:p>
            <w:pPr>
              <w:pStyle w:val="TableContents"/>
              <w:bidi w:val="0"/>
              <w:spacing w:before="0" w:after="283"/>
              <w:jc w:val="both"/>
              <w:rPr/>
            </w:pPr>
            <w:r>
              <w:rPr/>
              <w:t>the newly increased and unissued 79,960,206,598.04 Ordinary Shares be redesignated as Class A Shares; and</w:t>
            </w:r>
          </w:p>
        </w:tc>
      </w:tr>
    </w:tbl>
    <w:p>
      <w:pPr>
        <w:pStyle w:val="TextBody"/>
        <w:bidi w:val="0"/>
        <w:spacing w:before="0" w:after="0"/>
        <w:ind w:left="144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283"/>
              <w:jc w:val="both"/>
              <w:rPr/>
            </w:pPr>
            <w:r>
              <w:rPr/>
              <w:t>the newly increased and unissued 19,999,793,401.96 Ordinary Shares be redesignated into Class B Shares.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pPr>
            <w:r>
              <w:rPr/>
              <w:t>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(iii)</w:t>
            </w:r>
          </w:p>
        </w:tc>
        <w:tc>
          <w:tcPr>
            <w:tcW w:w="9879" w:type="dxa"/>
            <w:tcBorders/>
            <w:vAlign w:val="center"/>
          </w:tcPr>
          <w:p>
            <w:pPr>
              <w:pStyle w:val="TableContents"/>
              <w:bidi w:val="0"/>
              <w:spacing w:before="0" w:after="283"/>
              <w:jc w:val="both"/>
              <w:rPr/>
            </w:pPr>
            <w:r>
              <w:rPr/>
              <w:t>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(iv)</w:t>
            </w:r>
          </w:p>
        </w:tc>
        <w:tc>
          <w:tcPr>
            <w:tcW w:w="9886" w:type="dxa"/>
            <w:tcBorders/>
            <w:vAlign w:val="center"/>
          </w:tcPr>
          <w:p>
            <w:pPr>
              <w:pStyle w:val="TableContents"/>
              <w:bidi w:val="0"/>
              <w:spacing w:before="0" w:after="283"/>
              <w:jc w:val="both"/>
              <w:rPr/>
            </w:pPr>
            <w:r>
              <w:rPr/>
              <w:t>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(v)</w:t>
            </w:r>
          </w:p>
        </w:tc>
        <w:tc>
          <w:tcPr>
            <w:tcW w:w="9945" w:type="dxa"/>
            <w:tcBorders/>
            <w:vAlign w:val="center"/>
          </w:tcPr>
          <w:p>
            <w:pPr>
              <w:pStyle w:val="TableContents"/>
              <w:bidi w:val="0"/>
              <w:spacing w:before="0" w:after="283"/>
              <w:jc w:val="both"/>
              <w:rPr/>
            </w:pPr>
            <w:r>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Changes of Directors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5, 2026, Mr. Dahong Li, Mr. Michael Schumann and Ms. Yuanmei Ma resigned as independent Directors. Upon their resignations, each of Mr. Dahong Li, Mr. Michael Schumann and Ms. Yuanmei Ma ceased to serve in his or her respective positions on the Audit Committee of the Board, the Compensation Committee of the Board, the Nominating and Corporate Governance Committee and the Strategic Development Committee of the Board, as applicable.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the same day, Mr. Chan Kelvin Zhi Hong, Mr. Lee Chee Wai, and Wong Khai Meng were appointed as independent directors to the Board of Directors.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foregoing changes, on August 5, 2026, the Board reconstituted its standing committees, in each case with effect from the same date, as follows: the Audit Committee should consist of Mr. Wong Khai Meng (Chairperson), Mr. Chan Kelvin Zhi Hong and Mr. Chee Wai Lee, and the Board has determined that Chan Kelvin Zhi Hong qualifies as an “audit committee financial expert” as defined under rules and regulations of the SEC; the Compensation Committee should consist of Mr. Chan Kelvin Zhi Hong (Chairperson), Mr. Wong Khai Meng and Mr. Chee Wai Lee; the Nominating and Corporate Governance Committee should consist of Chee Wai Lee (Chairperson), Mr. Chan Kelvin Zhi Hong and Mr. Chee Wai Lee; and the Strategic Development Committee should consist of Ms. Muchun Zhu, Mr. Chan Kelvin Zhi Hong and Mr. Chee Wai Lee.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Entry into Securities Purchase Agreements with certain Investors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July 2026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6, 2026, Intercont entered into securities purchase agreements with certain investors, pursuant to which Intercont agreed to sell, and the investors agreed to purchase, an aggregate 8,000,000 units (each a “Unit”). Each Unit consist of one Class A Ordinary Share and one warrant to purchase one Class A Ordinary Share (each a “Warrant”). The public offering price of the Units is $0.79 per Unit. Each of the Warrants will have an exercise price of $0.869 per Class A Ordinary Share and will be exercisable beginning on the date of the issuance and expire six months from the date of issuance. A holder of the Warrants may also effect an exercise at a zero exercise price (the “zero exercise price option”) at any time while the Warrants are outstanding. Two (2) Class A Ordinary Shares are issuable under each Warrant under such zero exercise price option pursuant to any given notice of exercise electing to effect a zero exercise price option. The Warrants entitle the holders to receive, via the zero exercise price option, up to 16,000,000 Class A Ordinary Shares. The offering was closed on July 8,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White Lion Purchase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20, 2025, Intercont entered into the White Lion Purchase Agreement with White Lion Capital. Pursuant to the White Lion Purchase Agreement, White Lion Capital is committed to purchase Intercont’s Class A Ordinary Shares with an aggregate gross purchase price of up to $10,000,000 (as may be adjusted as described below, the “White Lion Commitment Amount”), from time to time during the period commencing on the August 20, 2025 and ending on the earlier of (i) the date on which White Lion Capital shall have purchased an aggregate number of Ordinary Shares equal to the White Lion Commitment Amount or (ii) the later of the 18 month anniversary of August 20, 2025 or the first closing (the “White Lion Commitment Period”). The White Lion Commitment Amount may be increased up to $30,000,000 upon the mutual written consent of White Lion Capital and Intercont. On December 1, 2025, the Company issued 15,990 Class A Ordinary Shares (with 1,990 commitment shares) of the Company at a price of $11.75 per share for consideration of $144,427. On December 15, 2025, the Company issued 14,000 Class A Ordinary Shares of the Company at a price of $5.35 per share for consideration of $74,827. On February 3, 2026, the Company issued 4,000 Class A Ordinary Shares of the Company at a price of $4.41 per share for consideration of $17,052. On April 13, 2026, the Company issued 20,000 Class A Ordinary Shares of the Company at a price of $2.01 per share for consideration of $40,127. On April 14, 2026, the Company issued 20,000 Class A Ordinary Shares of the Company at a price of $1.86 per share for consideration of $37,127. On April 15, 2026, the Company issued 35,000 Class A Ordinary Shares of the Company at a price of $1.62 per share for consideration of $56,627. On April 16, 2026, the Company issued 20,000 Class A Ordinary Shares of the Company at a price of $1.45 per share for consideration of $28,927. On April 17, 2026, the Company issued 20,000 Class A Ordinary Shares of the Company at a price of $1.67 per share for consideration of $33,327.</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Entry and Termination of Streeterville Purchase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4, 2025, Intercont entered into a Securities Purchase Agreement (the “Streeterville Purchase Agreement”) with Streeterville Capital, LLC, a Utah limited liability company (“Streeterville Capital”), pursuant to which Streeterville Capital agreed to purchase from Intercont one or more pre-paid purchases (each a “Pre-Paid Purchase” and together the “Pre-Paid Purchases”) in the aggregate purchase amount of up to $10,000,000.00 (the “Streeterville Commitment Amount”) for the purchase of Intercont’s Class A Ordinary Shares (the “Purchase Shares”). At the closing of the Streeterville Purchase Agreement (the “Closing”) on September 9, 2025, Intercont issued 3,419 Ordinary Shares to Streeterville Capital as a commitment fee (the “Streeterville Commitment Shares” and together with the White Lion Commitment Shares, the “Commitment Shares”) and 102,200 Ordinary Shares to be used as pre-delivery shares (the “Streeterville Pre-Delivery Shares”).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Purchase Agreement provides for a second Pre-Paid Purchase in the principal amount of $540,000, before deducting an original issue discount (the “OID”) of $40,000. The Company received net proceeds of $500,000 on January 13,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30, 2026, Intercont entered into a Payoff Acknowledgment and Termination Agreement with Streeterville Capital to terminate the Streeterville Purchase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Risks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Investing in Intercont’s Class A Ordinary Shares involves significant risks. You should carefully consider all of the information in this prospectus before making an investment in Intercont’s Class A Ordinary Shares. We set forth below a summary of the principal risks and challenges we face, organized under relevant headings. These risks are discussed more fully in the section titled “</w:t>
      </w:r>
      <w:r>
        <w:rPr>
          <w:rFonts w:ascii="Times New Roman;Times;Serif" w:hAnsi="Times New Roman;Times;Serif"/>
          <w:b w:val="false"/>
          <w:i/>
          <w:caps w:val="false"/>
          <w:smallCaps w:val="false"/>
          <w:sz w:val="20"/>
          <w:bdr w:val="single" w:sz="12" w:space="1" w:color="000000"/>
        </w:rPr>
        <w:t>Risk Factors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business and industry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relating to our business and industry include, but are not limited to, the following:</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report of our independent registered public accounting firm on our financial statements includes an explanatory paragraph emphasizing that the Company’s ability to continue as a going concern is dependent, in part, on receiving financial support from the Company’s primary shareholders. See “Risk Factors — </w:t>
            </w:r>
            <w:r>
              <w:rPr>
                <w:i/>
              </w:rPr>
              <w:t xml:space="preserve">Risks Related to Our Business and Industry — The report of our independent registered public accounting firm on our financial statements includes an explanatory paragraph emphasizing that the Company’s ability to continue as a going concern is </w:t>
            </w:r>
            <w:r>
              <w:rPr/>
              <w:t>dependent</w:t>
            </w:r>
            <w:r>
              <w:rPr>
                <w:i/>
              </w:rPr>
              <w:t xml:space="preserve">, in part, on receiving financial support from the Company’s primary shareholders” </w:t>
            </w:r>
            <w:r>
              <w:rPr/>
              <w:t>commencing on page 9.</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Ongoing geopolitical tensions around the world may have a material adverse effect on our business, financial condition, and results of operations. See “</w:t>
            </w:r>
            <w:r>
              <w:rPr>
                <w:i/>
              </w:rPr>
              <w:t>Risk Factors — Risks Related to Our Business and Industry — Ongoing geopolitical tensions around the world may have a material adverse effect on our business, financial condition, and results of operations</w:t>
            </w:r>
            <w:r>
              <w:rPr/>
              <w:t>” commencing on page 9.</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business of our Shipping Subsidiaries could be negatively impacted by the cyclical nature of the shipping industry. See “</w:t>
            </w:r>
            <w:r>
              <w:rPr>
                <w:i/>
              </w:rPr>
              <w:t xml:space="preserve">Risk Factors — Risks Related to Our Business and Industry — The business of our Shipping Subsidiaries could be negatively impacted by the cyclical nature of the shipping industry” </w:t>
            </w:r>
            <w:r>
              <w:rPr/>
              <w:t>commencing on page 11.</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face certain risks related to our transaction arrangements with our affiliates. See “</w:t>
            </w:r>
            <w:r>
              <w:rPr>
                <w:i/>
              </w:rPr>
              <w:t>Risk Factors — Risks Related to Our Business and Industry — We face certain risks related to our transaction arrangements with our affiliates</w:t>
            </w:r>
            <w:r>
              <w:rPr/>
              <w:t>” commencing on page 12.</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 See “</w:t>
            </w:r>
            <w:r>
              <w:rPr>
                <w:i/>
              </w:rPr>
              <w:t xml:space="preserve">Risk Factors — Risks Related to Our Business and Industry — 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 </w:t>
            </w:r>
            <w:r>
              <w:rPr/>
              <w:t>commencing on page 12</w:t>
            </w:r>
            <w:r>
              <w:rPr>
                <w:i/>
              </w:rPr>
              <w: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Intercont’s Shipping Subsidiaries operate in a highly competitive global maritime shipping industry and if they do not compete successfully with new entrants or established companies with greater resources, its shipping business growth and results of operations may be adversely affected. See “</w:t>
            </w:r>
            <w:r>
              <w:rPr>
                <w:i/>
              </w:rPr>
              <w:t>Risk Factors — Risks Related to Our Business and Industry — Intercont’s Shipping Subsidiaries operate in a highly competitive global maritime shipping industry and if they do not compete successfully with new entrants or established companies with greater resources, its shipping business growth and results of operations may be adversely affected</w:t>
            </w:r>
            <w:r>
              <w:rPr/>
              <w:t>” commencing on page 14</w:t>
            </w:r>
            <w:r>
              <w:rPr>
                <w:i/>
              </w:rPr>
              <w: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Global events, such as terrorist attacks and regional conflicts, have the potential to significantly impact Intercont’s business, financial status, operational results, and cash flows. See “</w:t>
            </w:r>
            <w:r>
              <w:rPr>
                <w:i/>
              </w:rPr>
              <w:t xml:space="preserve">Risk Factors — Risks Related to Our Business and Industry — Global events, such as terrorist attacks and regional conflicts, have the potential to significantly impact Intercont’s business, financial status, operational results, and cash flows” </w:t>
            </w:r>
            <w:r>
              <w:rPr/>
              <w:t>commencing on page 14.</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paper product industry is cyclical in nature. Fluctuations in the prices of, and the demand for, our seaborne pulping products could result in lower sales volumes and smaller profit margins. See “</w:t>
            </w:r>
            <w:r>
              <w:rPr>
                <w:i/>
              </w:rPr>
              <w:t xml:space="preserve">Risk Factors — Risks Related to Our Business and Industry — The paper product industry is cyclical in nature. Fluctuations in the prices of, and the demand for, our seaborne pulping products could result in lower sales volumes and smaller profit margins” </w:t>
            </w:r>
            <w:r>
              <w:rPr/>
              <w:t>commencing on page 19.</w:t>
            </w:r>
          </w:p>
        </w:tc>
      </w:tr>
    </w:tbl>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seaborne pulping business is still in early stages, and may not operate profitably, if at all. See “</w:t>
            </w:r>
            <w:r>
              <w:rPr>
                <w:i/>
              </w:rPr>
              <w:t xml:space="preserve">Risk Factors — Risks Related to Our Business and Industry — Our seaborne pulping business is still in early stages, and may not operate profitably, if at all” </w:t>
            </w:r>
            <w:r>
              <w:rPr/>
              <w:t>commencing on page 20.</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seaborne pulping business may not comply with all the import/export laws and regulations. See “</w:t>
            </w:r>
            <w:r>
              <w:rPr>
                <w:i/>
              </w:rPr>
              <w:t xml:space="preserve">Risk Factors — Risks Related to Our Business and Industry — Our seaborne pulping business may not comply with all the import/export laws and regulations” </w:t>
            </w:r>
            <w:r>
              <w:rPr/>
              <w:t>commencing on page 20.</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seaborne pulping business model is still in experimental stages and the current plan may not fully materialize when applied into operations. See “</w:t>
            </w:r>
            <w:r>
              <w:rPr>
                <w:i/>
              </w:rPr>
              <w:t>Risk Factors — Risks Related to Our Business and Industry — Our seaborne pulping business model is still in experimental stages and the current plan may not fully materialize when applied into operations</w:t>
            </w:r>
            <w:r>
              <w:rPr/>
              <w:t>” commencing on page 20.</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significantly rely on third-party intellectual property to carry out our seaborne pulping business, if we fail to continue the license, our seaborne pulping business will suffer material loss or fail to proceed. See “</w:t>
            </w:r>
            <w:r>
              <w:rPr>
                <w:i/>
              </w:rPr>
              <w:t xml:space="preserve">Risk Factors — Risks Related to Our Business and Industry — We significantly rely on third-party intellectual property to carry out our seaborne pulping business, if we fail to continue the license, our seaborne pulping business will suffer material loss or fail to proceed” </w:t>
            </w:r>
            <w:r>
              <w:rPr/>
              <w:t>commencing on page 20.</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corporate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Intercont (Cayman) Limited is a Cayman Islands holding company with no substantive operations. Intercont currently carries out its business primarily through its Shipping Subsidiaries. Intercont and holders of Intercont’s securities (including the Class A Ordinary Shares) are therefore subject to various legal and operational risks and uncertainties related to Intercont’s corporate structure, which would result in a material adverse change in our operations, cause the value of any securities Intercont offers to significantly decline or become worthless. Such risks and uncertainties include, but are not limited to, the following:</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Cayman Islands economic substance requirements may have an effect on our business and operations. See “</w:t>
            </w:r>
            <w:r>
              <w:rPr>
                <w:i/>
              </w:rPr>
              <w:t xml:space="preserve">Risk Factors — Risks Related to Our Corporate Structure — Cayman Islands economic substance requirements may have an effect on our business and operations” </w:t>
            </w:r>
            <w:r>
              <w:rPr/>
              <w:t>commencing on page 24</w:t>
            </w:r>
            <w:r>
              <w:rPr>
                <w:i/>
              </w:rPr>
              <w: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Intercont is incorporated under Cayman Islands law, you may face difficulties in protecting your interests, and your ability to protect your rights through U.S. courts may be limited. See “</w:t>
            </w:r>
            <w:r>
              <w:rPr>
                <w:i/>
              </w:rPr>
              <w:t xml:space="preserve">Risk Factors — Risks Related to Our Corporate Structure — As Intercont is incorporated under the Cayman Islands law, you may face difficulties in protecting your interests, and your ability to protect your rights through U.S. courts may be limited.” </w:t>
            </w:r>
            <w:r>
              <w:rPr/>
              <w:t>commencing on page 24</w:t>
            </w:r>
            <w:r>
              <w:rPr>
                <w:i/>
              </w:rPr>
              <w: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 See “</w:t>
            </w:r>
            <w:r>
              <w:rPr>
                <w:i/>
              </w:rPr>
              <w:t xml:space="preserve">Risk Factors — Risks Related to Our Corporate Structure — 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 </w:t>
            </w:r>
            <w:r>
              <w:rPr/>
              <w:t>commencing on page 25.</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doing business in Hong Kong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face various legal and operational risks and uncertainties related to being based in and having significant operations in Hong Kong and are therefore subject to risks associated with doing business in Hong Kong generally. Risks and uncertainties related to doing business in China could result in a material adverse change in our operations, significantly limit or completely hinder our ability to complete this offering or continue to offer securities to investors and cause the value of such securities to significantly decline or become worthless. Such risks and uncertainties include, but not limited to, the following:</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currently operate principally in Hong Kong, and adverse economic or other events affecting the region or any significant worsening to the present global economic condition could significantly impact our business. See “</w:t>
            </w:r>
            <w:r>
              <w:rPr>
                <w:i/>
              </w:rPr>
              <w:t xml:space="preserve">Risk Factors — Risks Related to Doing Business in Hong Kong — We currently operate principally in Hong Kong, and adverse economic or other events affecting the region or any significant worsening to the present global financial condition could significantly impact our business” </w:t>
            </w:r>
            <w:r>
              <w:rPr/>
              <w:t>commencing on page 26.</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 See “</w:t>
            </w:r>
            <w:r>
              <w:rPr>
                <w:i/>
              </w:rPr>
              <w:t xml:space="preserve">Risk Factors — Risks Related to Doing Business in Hong Kong — 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 </w:t>
            </w:r>
            <w:r>
              <w:rPr/>
              <w:t>commencing on page 27.</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enactment of the law of the PRC on Safeguarding National Security in the Hong Kong Special Administrative Region (the “Hong Kong National Security Law”) could impact our Hong Kong Subsidiaries, which may affect a substantial part of our business. See “</w:t>
            </w:r>
            <w:r>
              <w:rPr>
                <w:i/>
              </w:rPr>
              <w:t xml:space="preserve">Risk Factors — Risks Related to Doing Business in Hong Kong — The enactment of the law of the PRC on Safeguarding National Security in the Hong Kong Special Administrative Region (the “Hong Kong National Security Law”) could impact our subsidiaries in Hong Kong, which may affect a substantial part of our business” </w:t>
            </w:r>
            <w:r>
              <w:rPr/>
              <w:t>commencing on page 28</w:t>
            </w:r>
            <w:r>
              <w:rPr>
                <w:i/>
              </w:rPr>
              <w: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Chinese government may exercise significant oversight and discretion over the conduct of our Hong Kong Subsidiaries’ business and may intervene in or influence their operations at any time, which could result in a material change in their operations and/or the value of Intercont’s Class A Ordinary Shares. See “</w:t>
            </w:r>
            <w:r>
              <w:rPr>
                <w:i/>
              </w:rPr>
              <w:t xml:space="preserve">Risk Factors — Risks Related to Doing Business in Hong Kong — The Chinese government may exercise significant oversight and discretion over the conduct of our subsidiaries’ business and may intervene in or influence their operations at any time, which could result in a material change in their operations and/or the value of Intercont’s Class A Ordinary Shares” </w:t>
            </w:r>
            <w:r>
              <w:rPr/>
              <w:t>commencing on page 28</w:t>
            </w:r>
            <w:r>
              <w:rPr>
                <w:i/>
              </w:rPr>
              <w: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Company with a Holding Company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Intercont is a holding company incorporated in the Cayman Islands. As a holding company with no material operations, Intercont conducts all of its operations through its subsidiaries in Hong Kong and Singapore. Because of our corporate structure as a Cayman Islands holding company with operations conducted through our subsidiaries in Asia, it involves unique risks to investors. Investors in our Intercont’s Class A Ordinary Shares should be aware that they will not and may never directly hold equity interests in the operating subsidiaries, but rather purchasing equity solely in Intercont, the Cayman Islands holding company. Furthermore, shareholders may face difficulties enforcing their legal rights under United States securities laws against Intercont’s directors and officers who are located outside of the United States.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39 OCEAN DRIVE, SINGAPORE, Singapore, 098187. Our registered address is located at ICS Corporate Services (Cayman) Limited, Palm Grove Unit 4, 265 Smith Road, George Town, P.O. Box 52A Edgewater Way, #1653, Grand Cayman KY1-9006, Cayman Islands.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agent for service of process in the United States is Cogency Global Inc., located at 122 East 42</w:t>
      </w:r>
      <w:r>
        <w:rPr>
          <w:rFonts w:ascii="Times New Roman;Times;Serif" w:hAnsi="Times New Roman;Times;Serif"/>
          <w:b w:val="false"/>
          <w:i w:val="false"/>
          <w:caps w:val="false"/>
          <w:smallCaps w:val="false"/>
          <w:position w:val="7"/>
          <w:sz w:val="16"/>
          <w:sz w:val="20"/>
          <w:bdr w:val="single" w:sz="12" w:space="1" w:color="000000"/>
        </w:rPr>
        <w:t>nd</w:t>
      </w:r>
      <w:r>
        <w:rPr>
          <w:rFonts w:ascii="Times New Roman;Times;Serif" w:hAnsi="Times New Roman;Times;Serif"/>
          <w:b w:val="false"/>
          <w:i w:val="false"/>
          <w:caps w:val="false"/>
          <w:smallCaps w:val="false"/>
          <w:sz w:val="20"/>
          <w:bdr w:val="single" w:sz="12" w:space="1" w:color="000000"/>
        </w:rPr>
        <w:t xml:space="preserve"> Street, 18</w:t>
      </w:r>
      <w:r>
        <w:rPr>
          <w:rFonts w:ascii="Times New Roman;Times;Serif" w:hAnsi="Times New Roman;Times;Serif"/>
          <w:b w:val="false"/>
          <w:i w:val="false"/>
          <w:caps w:val="false"/>
          <w:smallCaps w:val="false"/>
          <w:position w:val="7"/>
          <w:sz w:val="16"/>
          <w:sz w:val="20"/>
          <w:bdr w:val="single" w:sz="12" w:space="1" w:color="000000"/>
        </w:rPr>
        <w:t>th</w:t>
      </w:r>
      <w:r>
        <w:rPr>
          <w:rFonts w:ascii="Times New Roman;Times;Serif" w:hAnsi="Times New Roman;Times;Serif"/>
          <w:b w:val="false"/>
          <w:i w:val="false"/>
          <w:caps w:val="false"/>
          <w:smallCaps w:val="false"/>
          <w:sz w:val="20"/>
          <w:bdr w:val="single" w:sz="12" w:space="1" w:color="000000"/>
        </w:rPr>
        <w:t xml:space="preserve"> Floor, New York, New York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Investors should contact us for any inquiries through the address and telephone number of our principal executive office. Our principal website is </w:t>
      </w:r>
      <w:r>
        <w:rPr>
          <w:rFonts w:ascii="Times New Roman;Times;Serif" w:hAnsi="Times New Roman;Times;Serif"/>
          <w:b w:val="false"/>
          <w:i/>
          <w:caps w:val="false"/>
          <w:smallCaps w:val="false"/>
          <w:sz w:val="20"/>
          <w:bdr w:val="single" w:sz="12" w:space="1" w:color="000000"/>
        </w:rPr>
        <w:t>https://www.intercontcayman.com</w:t>
      </w:r>
      <w:r>
        <w:rPr>
          <w:rFonts w:ascii="Times New Roman;Times;Serif" w:hAnsi="Times New Roman;Times;Serif"/>
          <w:b w:val="false"/>
          <w:i w:val="false"/>
          <w:caps w:val="false"/>
          <w:smallCaps w:val="false"/>
          <w:sz w:val="20"/>
          <w:bdr w:val="single" w:sz="12" w:space="1" w:color="000000"/>
        </w:rPr>
        <w:t>. The information contained on our website is not a part of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Legal Proceedings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hereof, to our knowledge, none of Intercont or its subsidiaries is currently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a_023"/>
      <w:bookmarkEnd w:id="5"/>
      <w:r>
        <w:rPr>
          <w:rFonts w:ascii="Times New Roman;Times;Serif" w:hAnsi="Times New Roman;Times;Serif"/>
          <w:b/>
          <w:i w:val="false"/>
          <w:caps w:val="false"/>
          <w:smallCaps w:val="false"/>
          <w:sz w:val="20"/>
        </w:rPr>
        <w:t xml:space="preserve">RISK FACTORS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making an investment decision, you should carefully consider the risks described under “Risk Factors” in the applicable prospectus supplement and under the heading “Item 3. Key Information—D. Risk Factors” in the 2025 Annual Report, which is incorporated in this prospectus by reference, as updated by our subsequent filings under the Exchange Act that are incorporated herein by reference, together with all of the other information appearing in this prospectus or incorporated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report of our independent registered public accounting firm on our financial statements includes an explanatory paragraph emphasizing that the Company’s ability to continue as a going concern is dependent, in part, on receiving financial support from the Company’s primary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December 31, 2025, the Company had cash and cash equivalents of approximately $4.0 million.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determines that the cash requirements exceed amounts of cash on hand, it may seek to issue debt or equity securities or obtain a credit facility. Taking into account the ability for the Group to raise finances, the management has alleviated the substantial doubt about the Group’s ability to continue as a going concern. While the management believes in the Group’s ability to raise additional funds by issuing debt or equity securities or obtaining a credit facility and the viability of its strategy, there can be no assurances that they will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Ongoing geopolitical tensions around the world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participant in the international maritime business, we face risks associated with heightened tensions in geopolitical and economic relations. Rivalries and sanctions between major powers, including the United States and China, terrorist threats, wars and other conflicts involving Ukraine, the Middle East and elsewhere have created increased global uncertainty. Such geopolitical tensions, along with trade disputes and regional conflicts, may result in economic instability, market volatility, and regulatory changes, which could impact our supply chain, operations, and consumer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 United States has proposed to impose multiple rounds of tariffs on a wide range of goods imported from multiple countries, including China, and China has responded with retaliatory tariffs. Since February 2025, the U.S. administration has proposed to increase the total tariff level for imported Chinese goods to 125% and additional tariff increase could be imposed as the trade tension between the two countries continues to heighten. On April 9, 2025, China has responded by hiking its levies on U.S. imports to 84% from 34%. Additionally, the United States Trade Representative (“USTR”) effected Section 301 Action on China, charging fees on Chinese-built ships and vessel owners and operators of China, which fees would increase over the following years. On October 24, 2025, the USTR also initiated Section 301 investigation of China’s implementation of the Economic and Trade Agreement Between the Government of the United States of America and the Government of the People’s Republic of China (“Phase One Agreement”). USTR will examine whether China has fully implemented its commitments under the Phase One Agreement, the burden or restriction on U.S. commerce resulting from any non-implementation by China of its commitments, and what action, if any, should be taken in response. These measures could significantly decrease the volume of cross border commerce, increase the costs of maritime senders, and thereby cause a material adverse impact on our business, financial condition, and results of operations. Although the U.S. and China agreed to suspend the additional tariffs imposed in April 2025 starting from May 14, 2025, it remains possible that such tariffs resume or additional tariffs will be imposed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tariffs have led to increased trade and political tensions, between the U.S. and China, as well as between the U.S. and other countries. Political tensions as a result of trade policies could reduce trade volume, cross-border investment, technological exchange, and other economic activities between major economies, resulting in a material adverse effect on global economic conditions and the stability of global financial and stock markets. 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of Chinese securities. Any such geopolitical developments could materially and adversely affect our overall financial performance and prices of Intercont’s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such tensions may lead to consumer boycotts, increased security measures, and travel restrictions, all of which could negatively affect the need for international maritime shipping. Any restrictions on international trade and capital flows may have a negative impact on our ability to access capital and expand our operations. As a result, any of these events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we may also be subject to review and enforcement under domestic and foreign laws that screen foreign investment and acquisitions. In both the U.S. and non-U.S. jurisdictions, these regulatory requirements may treat companies differently based on the type of company in question and investor profile in the company. As a result of these laws, investments by particular investors may need to be filed with local regulators, which in turn may impose added costs on our business, impact our operations, and/or limit our ability to engage in strategic transactions that might otherwise be beneficial to us and our investors. These laws are also regularly changed and updated. For example, recently the Office of Investment Security of the U.S. Department of the Treasury issued a final rule (the “Outbound Investment Rule”) to implement the Executive Order 14105, which provided for the establishment of a new national security regulatory framework to control outbound investment from the United States in certain sensitive industry sectors in the People’s Republic of China, including Hong Kong and Macau. The Outbound Investment Rule took effect in January 2025 and restricts U.S. persons’ direct and indirect investment into companies with specified connections to China that engage in specified “Covered Activities” within three areas of technology: semiconductors and microelectronics, quantum information technologies, and artificial intelligence systems. Notably, President Trump issued the America First Trade Policy Memorandum on February 20, 2025, which proposes to further expand the set of technologies of concern. These rules may limit our ability to engage in certain kinds of business operations; they may also limit our ability to raise capital from U.S. and other sources if we engage in the development of such technologies of concern. Continuing changes in both U.S. and non-U.S. jurisdictions to foreign investment laws and rules could adversely affect our strategic initiatives, financial performance,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recent action by the U.S. to impose new port fees on Chinese-owned and operated vessels and Chinese-built vessels could have a material adverse effect on our operations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USTR has recently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 of the vessel for each port entrance beginning October 14, 2025 and increasing over time, plateauing at $33 per net ton in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exceptions to this fee, including for both dry bulk and liquid vessels with capacity less than 80,000 dwt, vessels arriving to the US empty or in ballast, and vessels entering a port in the continental United States from a voyage of less than 2,000 nautical miles from a foreign port or 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implementation of this action remains uncertain. A USTR hearing took place in May 2025 and the public comment period closed in July 2025. Additionally, specifics, such as applicability to sale leaseback arrangements with Chinese leasing financiers, have not been clarified. In a sale leaseback arrangement, the Chinese leasing financiers are the formal owners of the vessels. Furthermore, retaliatory measures from China or other nations could further compound disruptions and cost increases within the global shipping industry. 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all ships in our fleet were constructed in China, the port fees imposed by USTR will not apply to our global maritime shipping business at the moment as our global maritime shipping business does not involve calling at U.S. ports. But in addition to direct port fee increases, retaliatory actions by China or other countries could indirectly impact port-related costs. For example, China imposed retaliatory port fees to restrict vessels of U.S. origin calling at Chinese ports on October 14, 2025, which could disrupt global shipping patterns and potentially increase congestion and costs at ports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not launched the seaborne pulping business as of the date of this prospectus, the Group plans to launch its seaborne pulping business at an appropriate time once external economic and political conditions stabilize. The factory ships to be used in the seaborne pulping business may have capacity over 90,000 dwt, which is above the 80,000-dwt threshold for the exception from the port fees for Chinese-built dry bulk vessels, and therefore the vessel will not be exempt from the port fee on Chinese-built vessels under the current version of the USTR action. Given the potential magnitude of these port-related fees and the many uncertainties surrounding their implementation, it is not possible at this time to fully predict the ultimate financial impact. However, if the action or similar measures are implemented, port fees for our vessels or vessels we charter and our operating costs for voyages calling at U.S. ports could materially increase. This, in turn, could significantly reduce our profitability of seaborne pulping business, negatively impact our ability to compete effectively, and materially and adversely affect our operations and financial results of our seaborne pulping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 of our Shipping Subsidiaries could be negatively impacted by the cyclical nature of the shipping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financial performance of the global maritime shipping business has exhibited cyclical patterns, marked by fluctuations in profitability and asset values due to changes in the supply and demand for international maritime shipping services. The quantity of shipping capacity depends on various factors, including the number and size of vessels in the global fleet, their deployment, the introduction of new vessels, and the decommissioning of older ones, etc. The demand for international maritime shipping services is influenced by global and regional economic conditions, currency exchange rates, the globalization of manufacturing, variations in global and regional international trade levels, regulatory developments, and alterations in seaborne and other transportation patterns. Predicting changes in the demand for international maritime shipping services is challenging. Declines in demand and/or increases in international maritime shipping capacity could result in substantially lower freight rates, decreased volume, or a combination of both, thereby adversely affecting the business, financial status, and operational results of our Shipping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certain risks related to our transaction arrangements with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two (2) of the four (4) vessels operated by our Shipping Subsidiaries are leased from a related party controlled by a family member of our shareholder. Additionally, our Shipping Subsidiaries have also entered into business arrangements with related parties in the ordinary course of business. Historically, we did not have in place a formal process that meets public company standard to review and approve transactions with related parties, and such related party transactions may impair investors in Intercont’s Class A Ordinary Shares. But recently, the Company has adopted a related party transaction policy to review and approve all further related party transactions. Furthermore, if any of the related parties having a business relationship with the Group reneges from the arrangements, the Group will have difficulty in finding replacement in a timely and cost-efficient manner, if at all. As a result, our business operations and financial performance may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certain customers for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December 31, 2025, Customer A (Topsheen Shipping Singapore Pte. Ltd., a related party) and Customer D accounted for approximately 73% and 11%, respectively, of the Group’s total revenues. For the six months ended December 31, 2024, Customer A (Topsheen Shipping Singapore Pte. Ltd., a related party) and Customer D accounted for approximately 70% and 11% respectively, of the Group’s total revenues. 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 For the year ended June 30, 2023, Customer A (Topsheen Shipping Singapore Pte. Ltd., a related party), Customer B and Customer C accounted for approximately 43%, 19% and 12%, respectively, of the Group’s total revenue. As of December 31, 2025, Customer D accounted for approximately 98% of the Group’s accounts receivable. As of June 30, 2025, Customer A (Topsheen Shipping Singapore Pte. Ltd., a related party), Customer D, Customer G (Meida Shipping Co., Limited, a related party) and Customer E (Tongda Shipping Co., Limited, a related party)   accounted for approximately 47%, 22%, 12% and 11%, respectively, of the Group’s accounts receivable and accounts receivable-related parties. As of June 30, 2024, Customer D, Customer F (Keen Best Shipping Co Limited, a related party) and Customer A (Topsheen Shipping Singapore Pte. Ltd., a related party) accounted for approximately 66%, 22% and 12%, respectively, of the Group’s accounts receivable and accounts receivable-related parties. The loss of any of our significant customers, a customer’s failure to make payments or perform under any of the applicable contracts, or a decline in payments under the contracts could have a material adverse effect on our business, financial condition, cash flows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Shipping Subsidiaries charter vessels from a limited number of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Shipping Subsidiaries currently charter two (2) vessels from a related party and charter one (1) vessel from an independent third party. If they terminate their business relationships with our Shipping Subsidiaries, our Shipping Subsidiaries will face the risk of not being able to secure adequate vessel replacement in a timely manner or the risk of being required to pay a higher charter rate for comparable vessel replacement, which could have a material adverse effect on our business, financial condition, cash flows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movements of the Baltic Dry Index (BDI), an indicator reflecting the daily average charter rates for key routes and published by the Baltic Exchange Limited, are highly unpredictable. Widely considered as a primary benchmark for monitoring the vessel charter market and overall shipping market performance, the BDI experienced a substantial 97.5% decline from its peak of 11,793 in May 2008 to 290 on February 10, 2016, and has since maintained a volatile trajectory. As of May 13, 2026 the BDI reached 3,063. The significant variance of BDI index could result in uncertainties in the Company’s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factors influence the demand for shipping capacity, including:</w:t>
      </w:r>
    </w:p>
    <w:p>
      <w:pPr>
        <w:pStyle w:val="TextBody"/>
        <w:bidi w:val="0"/>
        <w:spacing w:before="0" w:after="0"/>
        <w:ind w:left="0" w:right="0" w:hanging="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pPr>
            <w:r>
              <w:rPr/>
              <w:t>Supply and demand dynamics for products suitable for maritime shipping.</w:t>
            </w:r>
          </w:p>
        </w:tc>
      </w:tr>
    </w:tbl>
    <w:p>
      <w:pPr>
        <w:pStyle w:val="TextBody"/>
        <w:bidi w:val="0"/>
        <w:spacing w:before="0" w:after="0"/>
        <w:ind w:left="960" w:right="0" w:hanging="48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pPr>
            <w:r>
              <w:rPr/>
              <w:t>Changes in the global production of goods transported by ships.</w:t>
            </w:r>
          </w:p>
        </w:tc>
      </w:tr>
    </w:tbl>
    <w:p>
      <w:pPr>
        <w:pStyle w:val="TextBody"/>
        <w:bidi w:val="0"/>
        <w:spacing w:before="0" w:after="0"/>
        <w:ind w:left="960" w:right="0" w:hanging="48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pPr>
            <w:r>
              <w:rPr/>
              <w:t>Distance requirements for sea transport of cargo products.</w:t>
            </w:r>
          </w:p>
        </w:tc>
      </w:tr>
    </w:tbl>
    <w:p>
      <w:pPr>
        <w:pStyle w:val="TextBody"/>
        <w:bidi w:val="0"/>
        <w:spacing w:before="0" w:after="0"/>
        <w:ind w:left="960" w:right="0" w:hanging="48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pPr>
            <w:r>
              <w:rPr/>
              <w:t>Globalization of manufacturing.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Global and regional economic and political conditions, wars, armed conflicts, terrorist activities, embargoes, strikes, and tariffs.</w:t>
            </w:r>
          </w:p>
        </w:tc>
      </w:tr>
    </w:tbl>
    <w:p>
      <w:pPr>
        <w:pStyle w:val="TextBody"/>
        <w:bidi w:val="0"/>
        <w:spacing w:before="0" w:after="0"/>
        <w:ind w:left="960" w:right="0" w:hanging="48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pPr>
            <w:r>
              <w:rPr/>
              <w:t>International trade developments and disruptions.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Shifts in seaborne and other transportation patterns, encompassing alterations in transport distances and vessel speeds.</w:t>
            </w:r>
          </w:p>
        </w:tc>
      </w:tr>
    </w:tbl>
    <w:p>
      <w:pPr>
        <w:pStyle w:val="TextBody"/>
        <w:bidi w:val="0"/>
        <w:spacing w:before="0" w:after="0"/>
        <w:ind w:left="960" w:right="0" w:hanging="48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pPr>
            <w:r>
              <w:rPr/>
              <w:t>Environmental and regulatory changes.</w:t>
            </w:r>
          </w:p>
        </w:tc>
      </w:tr>
    </w:tbl>
    <w:p>
      <w:pPr>
        <w:pStyle w:val="TextBody"/>
        <w:bidi w:val="0"/>
        <w:spacing w:before="0" w:after="0"/>
        <w:ind w:left="960" w:right="0" w:hanging="48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pPr>
            <w:r>
              <w:rPr/>
              <w:t>Currency exchange rate fluctuations.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dry bulk vessels is dependent upon economic growth in the world’s economies, seasonal and regional changes in demand and changes to the capacity of the global dry bulk fleet and the sources and supply of dry bulk cargo transported by sea. Continued adverse economic, political or social conditions or other developments could negatively impact charter rates and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influencing the supply of shipping capacity encompass:</w:t>
      </w:r>
    </w:p>
    <w:p>
      <w:pPr>
        <w:pStyle w:val="TextBody"/>
        <w:bidi w:val="0"/>
        <w:spacing w:before="0" w:after="0"/>
        <w:ind w:left="0" w:right="0" w:hanging="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pPr>
            <w:r>
              <w:rPr/>
              <w:t>New building deliveries.</w:t>
            </w:r>
          </w:p>
        </w:tc>
      </w:tr>
    </w:tbl>
    <w:p>
      <w:pPr>
        <w:pStyle w:val="TextBody"/>
        <w:bidi w:val="0"/>
        <w:spacing w:before="0" w:after="0"/>
        <w:ind w:left="960" w:right="0" w:hanging="48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pPr>
            <w:r>
              <w:rPr/>
              <w:t>Scrapping rates of older shipping vessels.</w:t>
            </w:r>
          </w:p>
        </w:tc>
      </w:tr>
    </w:tbl>
    <w:p>
      <w:pPr>
        <w:pStyle w:val="TextBody"/>
        <w:bidi w:val="0"/>
        <w:spacing w:before="0" w:after="0"/>
        <w:ind w:left="960" w:right="0" w:hanging="48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pPr>
            <w:r>
              <w:rPr/>
              <w:t>Disruption of shipping routes due to accidents or political events.</w:t>
            </w:r>
          </w:p>
        </w:tc>
      </w:tr>
    </w:tbl>
    <w:p>
      <w:pPr>
        <w:pStyle w:val="TextBody"/>
        <w:bidi w:val="0"/>
        <w:spacing w:before="0" w:after="0"/>
        <w:ind w:left="960" w:right="0" w:hanging="48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pPr>
            <w:r>
              <w:rPr/>
              <w:t>Pricing of steel and other raw materials.</w:t>
            </w:r>
          </w:p>
        </w:tc>
      </w:tr>
    </w:tbl>
    <w:p>
      <w:pPr>
        <w:pStyle w:val="TextBody"/>
        <w:bidi w:val="0"/>
        <w:spacing w:before="0" w:after="0"/>
        <w:ind w:left="960" w:right="0" w:hanging="48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pPr>
            <w:r>
              <w:rPr/>
              <w:t>Changes in environmental and regulatory frameworks limiting the useful life of vessels.</w:t>
            </w:r>
          </w:p>
        </w:tc>
      </w:tr>
    </w:tbl>
    <w:p>
      <w:pPr>
        <w:pStyle w:val="TextBody"/>
        <w:bidi w:val="0"/>
        <w:spacing w:before="0" w:after="0"/>
        <w:ind w:left="960" w:right="0" w:hanging="48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pPr>
            <w:r>
              <w:rPr/>
              <w:t>The number of inactive shipping vessels.</w:t>
            </w:r>
          </w:p>
        </w:tc>
      </w:tr>
    </w:tbl>
    <w:p>
      <w:pPr>
        <w:pStyle w:val="TextBody"/>
        <w:bidi w:val="0"/>
        <w:spacing w:before="0" w:after="0"/>
        <w:ind w:left="960" w:right="0" w:hanging="480"/>
        <w:jc w:val="both"/>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both"/>
              <w:rPr/>
            </w:pPr>
            <w:r>
              <w:rPr/>
              <w:t>Port and canal congestion.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decline in the worldwide economic conditions, particularly in the Asia Pacific region, has the potential to significantly impact our Shipping Subsidiaries’ business, financial well-being, and operational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economic landscape is pivotal in determining the demand for various commodities across the globe, consequently influencing maritime transportation. Specifically, the Group foresees a substantial number of ports, where its cargo operations are situated, continuing to be actively involved in cargo handling within the Asia Pacific Region. The Asia Pacific Region is expected to function as one of the Group’s crucial locations for loading and unloading operations. Therefore, any negative shifts in economic conditions within the Asia Pacific Region could exert a noteworthy influence on the demand for global maritime shipping. Nonetheless, if the economic state of the Asia Pacific Region persists in being feeble or undergoes negative growth in the future, it could have an adverse effect on the demand for global maritime shipping.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escalation of global trade protectionism could have a significant adverse impact on our Shipping Subsidiaries’ business, potentially affecting their financial condition, operational results,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Shipping Subsidiaries’ operations are susceptible to the risk that increased global trade protectionism may negatively influence their business. Governments might resort to trade barriers to shield or rejuvenate their domestic industries against foreign imports, thereby diminishing the demand for global maritime shipping. Imposing restrictions on imports, including tariffs, could wield a substantial impact on global trade and the demand for shipping services. The presence of trade protectionism in the markets served by our Shipping Subsidiaries may lead to increased costs of exported goods, extended delivery times, elevated risks associated with exporting, ultimately resulting in a decrease in the volume of exported goods and a diminished demand for shipping.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Shipping Subsidiaries’ operations and business revenue often stem from transporting goods from Asia to various overseas export markets. Any downturn or impediment in the production capacity of exporters based in Asia could significantly adversely affect Asia’s export growth rate and, consequently, affecting our Shipping Subsidiaries’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Shipping Subsidiaries operate in a highly competitive global maritime shipping industry and if they do not compete successfully with new entrants or established companies with greater resources, their shipping business growth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worldwide international maritime shipping business is highly competitive. Barriers to entry are relatively low for existing shipping companies wishing to enter, or expand their presence in, a new market or new trade lane. Carriers compete based on price, frequency of service, transit time, port coverage, service reliability, vessel availability, inland operations, quality of customer service, value-added services and other customer requirements. There is strong competition in the international markets and trade lanes in which our Shipping Subsidiaries currently operate, and we expect that current competitive pressures within the international maritime shipping industry will continue.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marine fuel prices could increase our operating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Marine fuel constitutes a substantial cost to our global maritime shipping and seaborne pulping businesses. The cost of marine fuel is subject to many economic and political factors which are beyond our control. The price and supply of fuel are unpredictable and fluctuate based on events outside our control, including geopolitical developments, supply of and demand for oil and gas, actions by the Organization of the Petroleum Exporting Countries, or OPEC, and other oil and gas producers, war and unrest in oil-producing countries and regions, regional production patterns and environmental concerns. In February 2022, crude oil prices increased to a new seven-year high, impacted by the Russia-Ukraine conflict and the sanctions and other measures imposed on Russia by the United Kingdom, European Union, the United States, and other countries. As a result of the ongoing war in Iran over the past two months, oil prices have surged. The instability in the Middle East may further affect international oil prices. Although we do not have any trading activities with sanctioned parties or ports, sanctions and trade restrictions have increased uncertainty in global energy markets and fuel may become much more expensive in the future, which could have a material adverse effect on our business, financial condition, cash flows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events, such as terrorist attacks and regional conflicts, have the potential to significantly impact our business, financial status, operational results,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 terrorist attacks and the ongoing threat of future incidents worldwide continue to instigate uncertainty in the global financial markets, potentially affecting our business, operating outcomes, and financial condition. Additionally, recent acts of terror perpetrated by Houthi rebels in the Red Sea region further heighten concerns about the impact on maritime transportation along key routes, such as the Red Sea route, affecting the Group’s shipping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conflicts and recent developments in regions such as Ukraine, Russia, North Korea, Myanmar, and the Middle East (including Iran, Iraq, Israel, Palestine, Syria, the Persian Gulf, Yemen), coupled with the presence of the United States or other armed forces in the Middle East, may lead to additional acts of terrorism and armed conflict globally. These events may contribute to heightened economic instability in the worldwide financial markets. Recent statements from government leaders about potential trade barriers to safeguard domestic industries against foreign imports add to the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 in a country where a significant supplier or customer of Intercont is situated could impact the supply chain or revenue generation from that customer. Historical instances indicate that political conflicts have resulted in attacks on vessels, waterway mining, and other efforts to disrupt global maritime shipping. Import restrictions, including tariffs, have historically and could continue to significantly impact global trade and the demand for shipping services. Although we have not conducted business with any sanctioned entity or port, we adopt several measures to avoid the transactions with any sanctioned entity or port, and we are in the process of make a Sanction, Export Control and Trade Control Policy. Any of these events, including the recent Houthi rebel terrorist attacks affecting the Red Sea route, could have a material adverse effect on our business, financial condition, cash flows, and operational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Acts of piracy on ocean-going vessels may have a material adverse effect on the Group’s business, financial condition, cash flows,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piracy have historically affected ocean-going vessels trading in regions of the world such as the South China Sea, the Indian Ocean, the Gulf of Aden off the coast of Somalia and, in more recent times, the Gulf of Guinea. Sea piracy incidents continue to occur, particularly in the Gulf of Aden off the coast of Somalia, in the Gulf of Guinea and the west coast of Africa, with carriers vulnerable to such attacks. Acts of piracy may result in death or injury to persons or damage to property. In addition, crew costs, including costs of employing on-board security guards, could increase in such circumstances. We may not be adequately insured to cover losses from these incidents, which could have a material adverse effect on our business, financial condition, cash flows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Increased inspection procedures and tighter import and export controls could increase costs and disrupt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maritime shipping business and our seaborne pulping business are both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changes to inspection procedures could impose additional financial and legal obligations on us. Changes to inspection procedures could also impose additional costs and obligations on Intercont and may, in certain cases, render the shipment of certain types of cargo uneconomical or impractical. Any such changes or developments could have a material adverse effect on our business, financial condition, cash flows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results of operations will be subject to seasonal fluctuations, which may adversely affect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in which we operate our dry bulk vessels may exhibit seasonal variations in demand, such as demands affected by holiday seasons. In addition, unpredictable and adverse weather conditions and patterns in different parts of the world have in the past had a negative impact on various exports. Such seasonality may affect our business, results of operations, financial condition, and could affect our ability to pay dividends, if any,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freights may call on ports located in countries that are subject to restrictions imposed by the United States, United Kingdom, United Nations, or other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anticipate our freights calling on ports situated in countries subject to sanctions and embargoes imposed by the U.S. government and other authorities, or countries identified as state sponsors of terrorism, there may be instances, based on charterers’ instructions, where our vessels may call on ports in such countries in the future. The application of U.S. sanctions and embargo laws varies, as they do not uniformly apply to the same entities or prohibit identical activities. Furthermore, these laws and regulations may be amended or strengthened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committed to complying with all applicable sanctions and embargo laws and regulations, and intends to maintain such compliance, there is no guarantee of continued compliance in the future. This uncertainty arises especially as the interpretation and scope of certain laws may be unclear and subject to evolving interpretations. Any violation of these laws could have a severe adverse impact on our ability to access U.S.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carriers globally, exposing our business to inherent operational risks that could potentially impact our revenue, increase expenses, and may not be fully covered by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Engaged in the global maritime shipping business and seaborne pulping business operating on international vessels, we face inherent risks associated with the global operations of ocean-going freights. Cargoes transported by us are susceptible to damage or loss due to various events, including marine disasters, adverse weather conditions, mechanical failures, human error, environmental accidents, war, terrorism, piracy, and other unforeseen circumstances. Additionally, the transportation of cargoes across diverse international jurisdictions introduces the risk of business interruptions caused by political circumstances in foreign countries, hostilities, labor strikes, boycotts, potential changes in tax rates or policies, and the possibility of government expropriation of our carried cargoes. Any of these events could lead to a loss of revenue, increased costs, and decreased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economic, regulatory, and political conditions in some countries, including political and military conflicts, have historically resulted in attacks on vessels, waterway mining, piracy, terrorism, labor strikes, and boycotts. These hazards may result in personal injury or death, loss of revenue or property, payment of ransoms, environmental damage, higher insurance rates, market disruptions, and interference with shipping routes (such as delays or rerouting), all of which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we operate dry bulk vessels, our business has inherent operational risks which may reduce our revenue or increase our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international shipping industry is an inherently risky business involving global operations. Our vessels will be at risk of being damaged or lost because of events such as marine disasters, bad weather, mechanical failures, human error, environmental accidents, war, terrorism, piracy and other circumstances or events. In addition, transporting cargoes across a wide variety of international jurisdictions creates a risk of business interruptions due to political circumstances in foreign countries, hostilities, labor strikes and boycotts, the potential for changes in tax rates or policies, and the potential for government expropriation of our vessels. Any of these events may result in loss of revenues, increased costs and decreased cash flows to our customers, which could impair their ability to make payments to us under our charters.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operation of certain vessels, such as dry bulk carriers, has certain unique risks. With a dry bulk carrier, the cargo itself and its interaction with the vessel can be an operational risk. By their nature, dry bulk cargoes are often heavy, dense, easily shifted, and react badly to water exposure. In addition, dry bulk carriers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at sea. Hull breaches in dry bulk carriers may lead to the flooding of the vessels’ 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dry bulk carrier suffers flooding in its forward holds, the bulk cargo may become so dense and waterlogged that its pressure may buckle the vessel’s bulkheads, leading to the loss of a vessel. If we are unable to adequately repair our vessels after such damages, we may be unable to prevent these events. Any of these circumstances or events may have a material adverse effect on our business, results of operations and financial condition, if any, in the future, on our Class A Ordinary Shares. In addition, the loss of any of our vessels could harm our reputation as a safe and reliable shipping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Maritime claimants could arrest or attach one or more of our vessels, which could interrupt our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Crew members, suppliers of goods and services to a vessel, shippers of cargo, lenders, and other parties may be entitled to a maritime lien against a vessel for unsatisfied debts, claims or damages. In many jurisdictions, a maritime lien holder may enforce its lien by “arresting” or “attaching” a vessel through judicial or foreclosure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Labor interruptions could disrupt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subject to industrial action or other labor unrest that could prevent or hinder our operations from being carried out normally. If not resolved in a timely and cost-effective manner, such business interruptions could have a material adverse effect on our business, financial condition, cash flows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U.S. Foreign Corrupt Practices Act (FCPA) and other anti-bribery legislation in various jurisdictions could lead to fines, criminal penalties, contract terminations,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global maritime shipping business and seaborne pulping business span numerous countries globally, including those with a known reputation for corruption. The Group is dedicated to conducting its business in adherence to applicable anti-corruption laws. However, we face the risk that individuals or entities employed or engaged by the company, or their agents, may take actions violating anti-corruption laws, including the U.S. Foreign Corrupt Practices Act. Such violations could result in substantial fines, sanctions, civil and/or criminal penalties, or limitations on operations in specific jurisdictions, potentially impacting our business, operational results, or financial condition. Moreover, actual or alleged violations could harm our reputation and our ability to engage in business activities. Additionally, the process of detecting, investigating, and resolving actual or alleged violations is costly and can demand significant time and attention from our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smuggling of drugs or other contraband onto our freight may lead to governmental claims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freights may call at ports where smugglers attempt to hide drugs and other contraband on vessels, either with or without the knowledge of crew members. In the event that our freights are discovered with contraband, whether or not crew members are aware, the company may face reputational damage and governmental or regulatory claims, potentially having a material adverse effect on our business, financial condition, cash flows, and operational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need to maintain our relationships with local shipping agents, port and terminal operators.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relies on our relationships with local shipping agents, port, and terminal operators in the ports where our customers ship and unload their products. The Group believes that these relationships will continue to be crucial for its future success, and the loss of one or more of these relationships could materially and negatively impact its ability to retain and service our customers. We cannot guarantee that we will be able to maintain and expand our existing relationships with local shipping agents, port, and terminal operators or establish new relationships, and uncertainties exist regarding the availability of new or renewed relationships on commercially reasonable terms. In the event that we are unable to maintain, expand, or establish these relationships, we may risk losing customers or experiencing delays in the ports where we operate, potentially having a material adverse effect on our business, financial condition, cash flows, and operational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global financial credit crisis and geopolitical uncertainties have impacted the revenue of the Group, whose primary business revolves around global maritime shipping, particularly in the aspect of chartering vessels. These adverse factors may contribute to increased instability in the ship chartering market, resulting in fluctuations in charter rates and affecting our costs and income related to vessel leasing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environment of financial credit tightening, ship leasing may be influenced by funding shortages and financial pressures, making it challenging for us to secure favorable chartering terms. Additionally, geopolitical tensions may elevate risks on certain shipping routes, further impacting our flexibility and stability in chartering vessels and fulfilling transportation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these challenges, we may need to implement prudent financial management strategies, enhance collaboration with shipowners and leasing companies, and facilitate the operational stability of our fleet amidst the volatile financial and geopolitical landscape. Moreover, effective risk assessment and flexible operational strategies will play a critical role in sustaining our business continuity and profitability in the realm of vessel chartering.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ship leasing market is encountering increasing regulatory and environmental pressures, which may potentially lead to a rise in operational costs for us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escalating regulatory landscape, particularly in terms of safety, emissions, and other compliance measures, poses challenges for companies involved in ship leasing such as us, and specifically, our Shipping Subsidiaries. Adhering to and implementing these stringent regulations often necessitates investments in technology upgrades, staff training, and enhanced safety protocols, all of which can contribute to an upward trend in operational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growing emphasis on environmental sustainability is driving the maritime industry towards cleaner and more eco-friendly practices. Adoption of advanced technologies, alternative fuels, and eco-conscious operational measures may come with additional costs. As we align with these evolving industry standards, there is a potential for increased operational expenditures associated with environmental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mitigate the impact of these pressures, we may need to proactively manage our operations, invest in sustainable technologies, and continuously monitor and adapt to changing regulatory requirements. Strategic planning and a commitment to environmentally responsible practices will be essential for us to navigate potential increases in operational costs in the ship leasing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may be adversely impacted by severe weather, including as a result of climate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Tropical storms, hurricanes, typhoons and other severe maritime weather events could result in (i) the suspension of operations at the planned ports of call for our vessels and require significant deviations from our vessels’ routes, and (ii) the suspension of our production in our seaborne pulping facilities. In addition, climate change could result in an increase in the frequency and severity of these extreme weather events. The closure of ports, rerouting of vessels, damage of production facilities, as well as other delays caused by increasing frequency of severe weather, could stop operations or shipments for indeterminate periods and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consequences of climate change, including growing public concern about the environmental impact of climate change, may also adversely affect demand for our services. For example, increased regulation of greenhouse gases or other concerns relating to climate change may reduce the demand for coal in the future, one of the primary cargoes carried by dry bulk vessels and other vessels we may acquire. In addition, the physical effects of climate change, including changes in weather patterns, extreme weather events, rising sea levels and scarcity of water resources may negatively impact our operations. Any long-term economic consequences of climate change could have a significant financial and operational adverse impact on our business that we cannot predict with certainty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the implementation of environmental regulations, the imperative for energy-efficient design in newly built vessels to reduce their carbon intensity has become apparent. Consequently, there is a likely increase in demand for green vessels, but simultaneously, this implies a rise in associated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implementation of environmental regulations, including the industry guidelines introduced in 2019 under the “Poseidon Principle” and the MEPC80 meeting held in July 2023 (where countries agreed on a timetable for achieving net-zero carbon emissions in the shipping industry), ship operators may face higher investments and operational costs. This includes costs related to the design and construction of new vessels, investments in fuel and energy efficiency improvements, and updates to equipment and technology to comply with environmental regulations, leading to further increase in chartering costs. These additional costs could have a negative impact on the profitability and competitiveness of shipping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further strengthening of environmental regulations and the introduction of new net-zero carbon targets may further elevate the demand for green vessels, posing challenges to the cost structure of the shipping industry. Therefore, we may face increase in costs resulting from the adaptation to new environmental regulations and market demands while maintaining sustainable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Increased scrutiny of environmental, social and governance matters may impact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importance of their financial performance, companies are increasingly being judged by their performance on a variety of ESG matters which are considered to contribute to the long-term sustainability of companies’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the shipping industry undergoes digital transformation, the post-implementation maintenance costs of such systems may be higher than those in traditional shipping.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digitalization of the shipping industry involves the integration of advanced technologies and digital systems, such as maritime software, data analytics, and communication systems. While these technologies offer various benefits, including improved efficiency, real-time monitoring, and enhanced decision-makingcapabilities, they also introduce complexities and dependencies that may lead to increased maintenance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continuous evolution of digital technologies requires ongoing updates, cybersecurity measures, and support services to facilitate the smooth functioning and security of digital systems. Additionally, the need for specialized personnel with expertise in digital technologies may contribute to higher labor costs for system maintenance. As a result, we may also face increased costs relating to the digital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paper product industry is cyclical in nature. Fluctuations in the prices of, and the demand for, our seaborne pulping products could result in lower sales volumes and smaller profit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Openwindow plans to launch its seaborne pulping business in an orderly manner at an appropriate time once external economic and political conditions stabilize.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paper industry is cyclical in nature. Economic and market shifts, fluctuations in capacity and changes in foreign currency exchange rates may create cyclical changes in prices, sales volume and margins for our paper products. The overall levels of demand for the paper products that we will manufacture, and consequently our sales and profitability, will reflect fluctuations in levels of end-user demand, which depend in part on general macroeconomic conditions. Industry supply of paper products is also subject to fluctuation, as changing industry conditions have and will continue to influence producers to idle or permanently close individual machines or entire mills or retool them for different products to offset a decline in demand. As a result, prices for our paper products will be driven by many factors outside of our control, and we have little influence over the timing and extent of price changes, which are often volatile. If the prices or demand for our paper products decline, or if raw material, transportation or energy costs increase, or both, our business,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business and economic conditions could have a material adverse effect on the demand for our seaborne pulping products and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business and economic conditions could have a material adverse effect on our seaborne pulping business, financial condition and results of operations. Factors such as the COVID-19 pandemic, civil unrest, high unemployment levels, availability and cost of credit, geopolitical issues and trade disputes have contributed in the past, and may contribute in the future, to volatility in worldwide financial markets and disruptions to, and diminished expectations for, the economy and markets. These conditions could adversely affect industrial non-durable goods production, consumer spending, commercial printing and advertising activities, goods and parcel packaging, white-collar employment levels and consumer confidence, all of which impact demand for our products. In addition, volatility in the capital and credit markets, which impacts interest rates, currency exchange rates and the availability of credit,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from other businesses and combination within the paper product industry could have a material adverse effect on our future competitive position in our seaborne pulping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paper product industry is a competitive environment internationally. Product innovations, manufacturing and operating efficiencies, and marketing, distribution and pricing strategies pursued or achieved by competitors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seaborne pulping business is still in early stages, and may not operate profitably,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Openwindow plans to launch its seaborne pulping business in an orderly manner at an appropriate time once external economic and political conditions stabilize. Currently, Openwindow is in the process of working with a ship owner to set up the factory ship for the seaborne pulping business and testing the equipment. With no historical track record, Openwindow may not be able to successfully operate its seaborne pulping business, if at all. If Openwindow’s seaborne pulping business fails to turn a profit, our business, operations, and financial conditions will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still in the research and development stage of the waste gas recycle system related technology, and we have not tested out such technology. There are risks that the technology may not work in practice or if they work, they may not be as efficient as we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seaborne pulping business model is still in experimental stages and the current plan may not fully materialize when applied into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seaborne pulping business combines innovative business model and technology. Many details of the technologies are still in experimental stages and may be improved or modified as the researches and business operation proceed. As a result, the current plan may see further modifications when actually applied into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significantly rely on third-party intellectual property to carry out our seaborne pulping business, if we fail to continue the license, our seaborne pulping business will suffer material loss or fail to proceed.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Jiangsu Xinsihui Marine Technology Limited Co. (“Xinsihui”) for seaborne pulping technology development. We were licensed to use all the patents registered or applied under Xinsihui for free until the completion of our IPO. On November 13, 2025, we entered into a patent assignment agreement for pulping factory ship project (“Patent Assignment Agreement”) with Xinsihui, pursuant to which Xinsihui agreed to assign, and we agreed to accept the assignment of, all legally owned patents and patent applications, including all associated patent rights and derivative rights (the “Assigned Patents”). Upon completion of the agreed payments and patent formalities, we will become the sole owner of these Assigned Patents, eliminating any future risk of license non-renewal or unfavorable terms. Our seaborne pulping business will therefore no longer depend on a revocable license from Xinsihui. We may also engage other companies for further assistance to develop our seaborne pulping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seaborne pulping business may not comply with all the import/export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Openwindow’s seaborne pulping business transforms the goods on board during the voyage. However, the laws and regulations usually require the goods on board remain the same to conform with the description on the customs sheets. Therefore, as a new business model, the seaborne pulping business has not proven to comply with the import/export laws and regulations of the countries where Openwindow’s business will cover. If we fail to operate the business in a manner complying with such laws and regulations, we may be subject to fines, sanctions, or may not to operate the seaborne pulping business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the continuing and collaborative efforts of our management team, and our business may be severely disrupted if we lose their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derive all of our revenues from our global maritime shipping business. Our success heavily depends upon the continued services of our management. If one or more of our senior management were unable or unwilling to continue in their present positions, we might not be able to replace them easily or at all, and our business, financial condition and results of operations may be materially and adversely affected. If any of our senior management joins a competitor or forms a competing business, we may lose consumers, suppliers, know-how and key professionals and staff members. Our senior management has entered into employment agreements and confidentiality and non-competition agreements with us. However, if any dispute arises between our management team and the Group, we may have to incur substantial costs and expenses in order to enforce such agreements in Hong Kong or we may be unable to enforce them at all. In addition, we do not have key-maninsurance for any of our executive officers or other key personnel. Events or activities attributed to our executive officers or other key personnel, and related publicity, whether or not justified, may affect their ability or willingness to continue to serve our company or dedicate their full time and efforts to our company and negatively affect our brand and reputation, resulting in an adverse effect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recruit, train and retain qualified personnel or sufficient workforce while controlling our labor costs,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our business operations and planned expansion, we intend to hire additional qualified employees. Our future success depends, to a significant extent, on our ability to recruit, train and retain qualified personnel, particularly technical, marketing and other operational personnel with experience in the global maritime shipping and pulp making industries. Our operation and technical teams play a crucial role in putting our company strategy and plans into action as well as supporting our operations and expansion. The effective operation of our managerial and operating systems, coordination with suppliers and customers, and other back office functions also depends on the hard work and quality performance of our management and employees. Since we face high demand and intense competition for talent and labor, we can provide no assurance that we will be able to attract or retain qualified staff or other highly skilled employees that we will need to achieve our strategic objectives. With increased labor costs, we might not be able to offer steady and committed operational staffs and other labor support enough incentives if our remuneration plan is not competitive in the market. Any failure to address these risks and uncertainties could materially and adversely affect our results of operations and financial performance. In addition, our ability to train and integrate new employees into our operations may also be limited and may not meet the demand for our business growth on a timely fashion, or at all, and rapid expansion may impair our ability to maintain our corporate 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obtain certain filings, approvals, licenses, permits and certificates required for our business operations may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global maritime shipping and pulp making businesses span across countries. Although we spend efforts to obtain and maintain various approvals, licenses, permits and filings to operate our business, we cannot guarantee that we will be in compliance with all the applicable regulatory requirements due to the complexity of transnational rules and regulations. Additionally, such licenses are usually valid for specified periods and subject to renewals on expiry. As a result, any failure to renew such licenses may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insurance coverage, which could expose us to significant costs and business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and its subsidiaries have obtained insurance policies they deem necessary and in line with the ordinary practices of the industry. However, the Group and its subsidiaries do not maintain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from time to time, be subject to legal proceedings or administrative penalties during the course of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legal proceedings or administrative penalties from time to time in the ordinary course of our business, which could have a material adverse effect on our business, results of operations and financial condition. Claims arising out of actual or alleged violations of law could be asserted against us by clients, suppliers, competitors, or governmental entities in civil or criminal investigations and proceedings, or other entities. These claims could be asserted under a variety of laws, including but not limited to those related to product liability, consumer protection, intellectual property, unfair competition, privacy, labor and employment, securities, real estate, tort, contract, property and employee benefit. There is no guarantee that we will prevail in defending ourselves in legal and administrative procedures or in enforcing our rights under various laws, and we may still be involved in several legal or administrative proceedings. Enforcing our rights against the different parties involved may be costly, time-consuming, and ultimately fruitless even if we are successful in our attempt to protect ourselves in legal and administrative processes or to claim our rights under various laws. These actions could expose us to negative publicity and to substantial monetary damages and legal defense costs, injunctive relief and criminal and civil fines and penalties, including but not limited to suspension or revocation of licenses to conduct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in the process of applying for several patents connected to our seaborne pulping businesses. We may not be able to adequately protect our intellectual property and other proprietary rights that are material to our business, or to defend successfully against intellectual property infringement claims by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 the process of applying for several patents connected to our seaborne pulping businesses. Although we endeavor to protect our rights, third parties may infringe or misappropriate our intellectual property. We may have to litigate to enforce and protect our patents and other intellectual property rights or to determine their scope, validity or enforceability. This would represent a diversion of resources that may be significant and our efforts may not prove successful. The inability to secure or protect our intellectual property assets could harm our reputation and have a material adverse effect on our business and our ability to compete with other companies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claims by third parties for (i) patent, trademark or copyright infringement, (ii) breach of patent, trademark or copyright license usage rights or (iii) misappropriation of trade secrets. Any such claims or resulting litigation could result in significant expense and liability for damages. If we were found to have infringed or misappropriated a third-party patent or other intellectual property right, we could in some circumstances be prohibited from providing certain products or services to our customers or from utilizing and benefiting from certain patents, copyrights, trademarks, trade secrets or licenses. Alternatively, we may be required to enter into costly licensing arrangements with third parties. Any of these scenarios could harm our reputation and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additional capital, and financing may not be available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require additional capital to pursue our business objectives and respond to business opportunities, challenges or unforeseen circumstances, including to expand our fleet, install factory ship modifications for our seaborne pulping businesses, source additional clients and suppliers, improve our technology, and acquire complementary businesses and technologies. We might try to get a credit facility or sell more equity or debt securities if our current resources aren’t enough to cover our financial needs. Existing shareholder dilution could occur as a result of the selling of additional equity securities. Increased debt payment costs and possible operating and financial covenants would follow the incurrence of debt, which would limit our ability to operate. It is uncertain whether financing will be available in amounts or on terms acceptable to us,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adequate financing or financing on satisfactory terms,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relative lack of public company experience of our management team may put us at a competitive disadvantage.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Intercont’s board of directors and management team lack public company experience, which could impair our ability to comply with legal and regulatory requirements such as those imposed by the Sarbanes-Oxley Act. Our board of directors and senior management do not have much experience managing a publicly traded company. Such responsibilities include complying with federal securities laws and making required disclosures on a timely basis. Our board of directors and senior management may be unable to implement programs and policies in an effective and timely manner or that adequately respond to the increased legal, regulatory and reporting requirements associated with being a publicly traded company. Our failure to comply with all applicable requirements could lead to the imposition of fines and penalties, distract our management from attending to the management and growth of our business, result in a loss of investor confidence in our financial reports and have an adverse effect on our business and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we may be unable to accurately report our results of operations, meet our reporting obligations or prevent fraud, and investor confidence and the market price of Intercont’s Class A Ordinary Shares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of 1934 (the “Exchange Act”), the Sarbanes-Oxley Act of and the rules and regulations of Nasdaq Stock Market after we are successfully listed on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combined and consolidated financial statements incorporated by reference elsewhere in this prospectus, we and our independent registered public accounting firm identified one material weakness in our internal control over financial reporting. As defined in standards established by the PCAOB, a “material weakness” is a deficiency, or a combination of deficiencies, in internal control over financial reporting, such that there is a reasonable possibility that a material misstatement of our annual or interim combined and consolidated financial statements will not be prevented or detected on a timely basis. The material weaknesses identified relate to our lack of sufficient competent financial reporting and accounting personnel with appropriate understanding of U.S. GAAP and financial reporting requirements set forth by the SEC to design and implement key controls over financial reporting process to address complex U.S. GAAP accounting issues and related disclosures, in accordance with U.S. GAAP and SEC financial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material weakness identified, we are in the process of implementing a number of measures to address the material weakness identified, including but not limited to (i) hiring additional qualified accounting and financial personnel with appropriate knowledge and experience in U.S. GAAP accounting and SEC reporting; and (ii) organizing regular training for our accounting staffs, especially training related to U.S. GAAP and SEC reporting requirements. We also plan to adopt additional measures to improve our internal control over financial reporting, including, among others, creating U.S. GAAP accounting policies and procedures manual, which will be maintained, reviewed and updated, on a regular basis, to the latest U.S. GAAP accounting standards, and establishing an audit committee and strengthening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cannot assure you that we will not identify additional material weaknesses or significant deficiencies in the future. In addition, if we are unable to meet the requirements of Section 404 of the Sarbanes-Oxley Act, our Class A Ordinary Shares may not be able to remain listed on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combined and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Intercont’s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combined and consolidated financial statements from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economic substance requirements may have an effect on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International Tax Cooperation (Economic Substance) Act (as revised) of the Cayman Islands, or the ES Act, that came into force on January 1, 2019, a “relevant entity” that carries on a “relevant activity” is required to satisfy the economic substance test set out in the ES Act. A “relevant entity” includes an exempted company incorporated in the Cayman Islands as is Intercont. A “relevant activity” includes a holding company business. Based on the current interpretation of the ES Act, we believe that (i) Intercont is a pure equity holding company since it only holds equity participation in other entities and only earns dividends and capital gains, and (ii) Intercont carries on a holding company business, meaning the business of a pure equity holding entity. Accordingly, for so long as Intercont is a “pure equity holding company” that carries on a “holding company business”, it is only subject to the reduced substance requirements, which require us to (i) comply with all applicable filing requirements under the Companies Act; and (ii) has adequate human resources and adequate premises in the Cayman Islands for holding and managing equity participations in other entities. However, there can be no assurance that we will not be subject to more requirements under the ES Act. Uncertainties over the interpretation and implementation of the ES Act may have an adverse impact on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Intercont is incorporated under the Cayman Islands law, you may face difficulties in protecting your interests, and your ability to protect your rights through U.S. courts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is an exempted company incorporated under the laws of the Cayman Islands. Intercont’s corporate affairs are governed by its memorandum and articles of association (as amended from time to time), the Companies Act and the common law of the Cayman Islands. The rights of shareholders to take action against Intercont’s directors, actions by its minority shareholders and the fiduciary duties of its directors to Intercont under the Cayman Islands laws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Intercont’s shareholders and the fiduciary duties of its directors under the Cayman Islands laws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the Cayman Islands companies may not have standing to initiate a shareholder derivative action in a federal court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companies like Intercont have no general rights under the Cayman Islands laws to inspect corporate records, other than the memorandum and articles of association (as amended from time to time) and any special resolutions passed by such companies, and the registers of mortgages and charges of such companies. Intercont’s directors have discretion under its memorandum and articles of association to determine whether or not, and under what conditions, its corporate records may be inspected by its shareholders, but are not obliged to make them available to its shareholders except as confirmed by law or authorized by the directors or by Intercont by ordinary resolution. This may make it more difficult for you to obtain the information needed to establish any facts necessary for a shareholder motion or to solicit proxies from other shareholders in connection with a proxy contest. Certain corporate governance practices in the Cayman Islands, where Intercont is incorporated, differ significantly from requirements for companies incorporated in other jurisdictions such as the United States. Currently, Intercont relies on certain home country practices with respect to its corporate governance and its shareholders are afforded less protection that they would otherwise enjoy under Nasdaq corporate governance listing standards applicable to the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public shareholders may have more difficulty in protecting their interests in the face of actions taken by our management, members of our board of directors, or our major shareholders than they would as public shareholders of a company incorporated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may continue to rely on certain exemptions afforded to a Foreign Private Issuer even after it loses its status as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is a holding company, and it will rely on dividends and other distributions on equity paid by its subsidiaries for its cash and financing requirements. Within Intercont’s direct holding structure, the cross-bordertransfer of funds within the Group is legal and compliant with the laws and regulations of Singapore, Hong Kong, and the Cayman Islands. Intercont’s subsidiaries are permitted under the respective laws of Hong Kong and Singapore to provide funding to their respective shareholders through dividends without restrictions on the amount of the funds, other than as limited by the amount of their distributable earnings and subject to the requirement of maintaining sufficient fund for these subsidiaries to remain solvent as a going concern and meet its contractual obligations owed to third parties prohibiting or restricting dividend distributions. However, to the extent cash is in Intercont’s subsidiaries in Hong Kong, there is a possibility that the funds may not be available to fund Intercont’s operations or for other uses outside of Hong Kong due to interventions or the imposition of restrictions and limitations by the Hong Kong laws or PRC government on the ability to transfer cash outside Hong Kong or Hong Kong entity. While there are currently no restrictions on foreign exchange and our ability to transfer cash or assets between Intercont and its subsidiaries in Hong Kong, if certain laws and regulations, including existing laws and regulations and those enacted or promulgated in the future were to become applicable to us, and to the extent our cash or assets are in Hong Kong or a Hong Kong entity (such as our subsidiaries in Hong Kong), such funds or assets may not be available to fund operations or for other uses outside of Hong Kong due to interventions in or the imposition of restrictions and limitations on our ability to transfer funds or assets by the PRC government. Furthermore, we cannot assure you that the PRC government will not intervene or impose restrictions on Intercont or its subsidiaries in Hong Kong to transfer or distribute cash within the organization, which could result in an inability of or prohibition on making transfers or distributions to entities outside of Hong Kong. If any of our subsidiaries incurs debt on its own behalf in the future, the instruments governing such debt may restrict their ability to pay dividends to Intercont.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Intercont’s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is a Cayman Islands exempted company and substantially all of the Group’s assets are located outside of the United States. In addition, all of Intercont’s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Even if you are successful in bringing an action of this kind, the laws of the Cayman Islands may render you unable to enforce a judgment against our assets or the assets of our directors and officers. For more information regarding the relevant laws of the Cayman Islands, see “Enforceability of Civil Liabilities.” As a result of all of the above, our shareholders may have more difficulties in protecting their interests through actions against us or our officers, directors or major shareholders than would shareholders of a corporation incorporated in a jurisdiction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Intercont is an offshore holding company incorporated in the Cayman Islands. As a holding company with no material operations, Intercont’s operations are conducted by its subsidiaries in Asia, currently mostly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is a Cayman Islands holding company with no material operations of its own. As of the date of this prospectus, substantially all of Intercont’s business operations are conducted by the Shipping Subsidiaries, which are headquartered in Hong Kong. The ability of the Shipping Subsidiaries to make dividend and other payments to Intercont may be restricted by factors that include changes in applicable foreign exchange and other laws and regulations. While there are currently no restrictions on foreign exchange and our ability to transfer cash or assets between Intercont and its subsidiaries, if certain laws and regulations, including existing laws and regulations and those enacted or promulgated in the future were to become applicable to us, and to the extent our cash or assets are in Hong Kong or a Hong Kong entity (such as our Shipping Subsidiaries), such funds or assets may not be available to fund operations or for other use outside of Hong Kong due to the imposition of restrictions, limitations, and procedures on our transfer of funds or assets by the PRC government. Furthermore, we cannot assure you that the PRC government will not intervene or impose restrictions on our Shipping Subsidiaries, Fortune Ocean, or Intercont to transfer or distribute cash within the organization, which could result in an inability of or prohibition on making transfers or distributions to entities outside of Hong Kong. Any limitation on the ability of our Shipping Subsidiaries to pay dividends or make other distributions to its holding company could materially and adversely limit our ability to grow, make investments or acquisitions that could be beneficial to our business, pay dividends, or otherwise fund and conduct our business. In addition, if any of our Shipping Subsidiaries incurs debt on its own behalf in the future, the instruments governing such debt may restrict its ability to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Hong Kong legal system embodies uncertainties which could negatively affect our listing on Nasdaq and limit the legal protections available to you and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Hong Kong legal system embodies uncertainties which could negatively affect Intercont’s listing on Nasdaq and limit the legal protections available to you and us. Since the handover of the sovereignty of Hong Kong to China in 1997, Hong Kong’s Basic Law ensured Hong Kong will retain its own currency (the Hong Kong Dollar), legal system, parliamentary system and people’s rights and freedom for 50 years from 1997, giving Hong Kong the freedom to function in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 Any change in the degree of autonomy of Hong Kong could potentially impact Hong Kong’s common law legal system, and may in turn bring about uncertainty in, for example, our listing on Nasdaq Stock Exchange. This also could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operate principally in Hong Kong, and adverse economic or other events affecting the region or any significant worsening to the present global financial condition could significantly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substantially all of the Group’s operations are conducted by our Shipping Subsidiaries headquartered in Hong Kong. Changes in demand, economic and political developments and regulatory changes in the region will have a significant effect on our business, results of operations and financial condition. In addition, adverse weather conditions, earthquakes, fires, power loss, telecommunications failures, breakage of land or submarine transmission cables, military or terrorist activity or similar events within Hong Kong may cause significant disruption to our business operations. The outbreak of any severe contagious disease or pandemic within Hong Kong could also have a material adverse effect on our business, results of operations and financial performance. Any significant and protracted worsening to the present global financial and economic climate could result in a change to the spending or usage behavior of our customers which could have an adverse impact on our business, results of operations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Kong’s position and reputation is dependent on the high degree of autonomy.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is a special administrative region of the PRC with its own government. Hong Kong enjoys a high degree of autonomy from the PRC under the principle of “one country, two systems.” However, there can be no assurance that our financial condition and results of operations will not be adversely affected as a consequence of the exercise of PRC sovereignty over Hong Kong. On July 14, 2020, the President of U.S. signed an executive order to end the special status enjoyed by Hong Kong under the U.S.-Hong Kong Policy Act of 1992. Hong Kong’s position and reputation as an international financial and trade center may be further damaged, and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affected by the currency peg system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1983, Hong Kong dollars have been pegged to the U.S. dollars at approximately HK$7.80 to US$1.00. We cannot assure you that this policy will not be changed in the future. If the pegging system collapses and Hong Kong dollars suffer devaluation, the Hong Kong dollar cost of our expenditures denominated in foreign currency may increase. This may in turn adversely affect the operations and profitability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decline in the economies of Hong Kong, mainland China, or globally, or alterations in mainland China and Hong Kong’s economic and political policies, may significantly and negatively impact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future opportunities, financial health, and operational outcomes of us could be significantly impacted by the political, economic, and social landscapes in Hong Kong and mainland China. The Chinese economy stands apart from most developed nations across several aspects, such as the amount of government involvement, level of development, growth rate, control of foreign exchange and allocation of resources. Despite substantial growth in recent decades, the Chinese economy’s progression has been uneven, both regionally and across various sectors. The Chinese government has implemented various measures aimed at encouraging economic growth and guiding resource distribution. While these measures might benefit the broader Chinese economy, some could potentially have adverse effects on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economy in Hong Kong and mainland China is responsive to global economic trends. A prolonged downturn in the worldwide or Chinese economy could impact the businesses of both our existing and potential customers, thereby exerting a negative influence on the business, operational results, and financial standing of our subsidiaries. Furthermore, sustained volatility in international markets may hinder our capacity to access the capital markets to fulfill liquidity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operational activities are primarily conducted in Hong Kong. Accordingly, political and economic conditions in Hong Kong and the surrounding region may directly affect our business. In 2019, a number of political protests and conflicts have occurred in Hong Kong in connection with proposed legislation that would allow local authorities to detain and extradite people who are wanted in territories that Hong Kong does not have extradition agreements with, including the mainland of China and Taiwan. The economy of Hong Kong has been negatively impacted, including retail market, property market, securities market, and tourism, from such protests.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susceptible to incidents or factors which affect the stability of the social, economic and political conditions in Hong Kong. It is unclear whether there will be other political or social unrest in the near future or that there will not be other events that could lead to the disruption of the economic, political and social conditions in Hong Kong. If such events persist for a prolonged period of time or that the economic, political and social conditions in Hong Kong are to be disrupted, our overall business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economic, political and legal developments and social conditions in the PRC may significantly affect our business, financial condition, results of operations and prospects. Policies of the PRC government can have significant effects on economic conditions in the mainland of China and Hong Kong. While we believe that the PRC will continue to strengthen its economic and trading relationships with foreign countries and that business development in the PRC will continue to follow market forces, we cannot assure you that this will be the case. Our business operations and prospects, financial condition, and results of operations may be adversely affected by changes in policies by the PRC government, including:</w:t>
      </w:r>
    </w:p>
    <w:p>
      <w:pPr>
        <w:pStyle w:val="TextBody"/>
        <w:bidi w:val="0"/>
        <w:spacing w:before="0" w:after="0"/>
        <w:ind w:left="0" w:right="0" w:hanging="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pPr>
            <w:r>
              <w:rPr/>
              <w:t>changes in laws, regulations or their interpretation;</w:t>
            </w:r>
          </w:p>
        </w:tc>
      </w:tr>
    </w:tbl>
    <w:p>
      <w:pPr>
        <w:pStyle w:val="TextBody"/>
        <w:bidi w:val="0"/>
        <w:spacing w:before="0" w:after="0"/>
        <w:ind w:left="960" w:right="0" w:hanging="48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pPr>
            <w:r>
              <w:rPr/>
              <w:t>confiscatory taxation;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restrictions on currency conversion, imports or sources of suppliers, or ability to continue as a for-profit enterprise;</w:t>
            </w:r>
          </w:p>
        </w:tc>
      </w:tr>
    </w:tbl>
    <w:p>
      <w:pPr>
        <w:pStyle w:val="TextBody"/>
        <w:bidi w:val="0"/>
        <w:spacing w:before="0" w:after="0"/>
        <w:ind w:left="960" w:right="0" w:hanging="48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pPr>
            <w:r>
              <w:rPr/>
              <w:t>expropriation or nationalization of private enterprises; and</w:t>
            </w:r>
          </w:p>
        </w:tc>
      </w:tr>
    </w:tbl>
    <w:p>
      <w:pPr>
        <w:pStyle w:val="TextBody"/>
        <w:bidi w:val="0"/>
        <w:spacing w:before="0" w:after="0"/>
        <w:ind w:left="960" w:right="0" w:hanging="48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pPr>
            <w:r>
              <w:rPr/>
              <w:t>the allocation of resources.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enactment of the law of the PRC on Safeguarding National Security in the Hong Kong Special Administrative Region (the “Hong Kong National Security Law”) could impact our subsidiaries in Hong Kong, which may affect a substantial part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offenses — secession, subversion, terrorist activities, and collusion with a foreign country or external elements to endanger national security — and their corresponding penalties. On July 14, 2020, the U.S. President signed the Hong Kong Autonomy Act, or HKAA, into law, authorizing the U.S. administration to impose blocking sanctions against individuals and entities determined to have materially contributed to the erosion of Hong Kong’s autonomy.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foreign financial institutions and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Chinese government may exercise significant oversight and discretion over the conduct of our subsidiaries’ business and may intervene in or influence their operations at any time, which could result in a material change in their operations and/or the value of Intercont’s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is a holding company, and we conduct a substantial portion of our operations through our subsidiaries in Hong Kong. As Hong Kong is a special administrative region of the PRC, the PRC government may choose to exercise significant oversight and discretion to companies based in Hong Kong. If we or our subsidiaries in Hong Kong were to become subject to PRC laws, regulations, and other government directives in China, such laws, regulations, and other government directives in China may be costly to comply with, and such compliance or any associated inquiries or investigations or any other government actions may:</w:t>
      </w:r>
    </w:p>
    <w:p>
      <w:pPr>
        <w:pStyle w:val="TextBody"/>
        <w:bidi w:val="0"/>
        <w:spacing w:before="0" w:after="0"/>
        <w:ind w:left="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pPr>
            <w:r>
              <w:rPr/>
              <w:t>Delay or impede our subsidiaries’ development;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pPr>
            <w:r>
              <w:rPr/>
              <w:t>Result in negative publicity or increase our subsidiaries’ operating costs;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pPr>
            <w:r>
              <w:rPr/>
              <w:t>Require significant management time and attention;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Subject us to remedies, administrative penalties, and even criminal liabilities that may harm our subsidiaries’ business, including fines assessed for our subsidiaries current or historical operations, or demands or orders that our subsidiaries modify or even cease their business practices.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that, recently, the PRC government initiated a series of regulatory actions and statements to regulate business operations in certain areas in China, some of which were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These regulatory actions and statements emphasize the need to strengthen the administration over illegal securities activities and the supervision of China-based companies seeking overseas listings. Additionally, companies are required to undergo a cybersecurity review if they hold large amounts of data related to issues of national security, economic development, or public interest before carrying out mergers, restructuring, or splits that affect or may affect national security. These statements were recently issued, and their official guidance and interpretation remain unclear at this time. While we believe that our subsidiaries’ operations are not currently being affected, if such statements become applicable to our subsidiaries in Hong Kong, compliance with new regulatory requirements or any future implementation rules may present a range of new challenges which may create uncertainties and increase our subsidiaries’ cost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risks that the Chinese government may intervene or influence our subsidiaries’ operations at any time and may exert more control over offerings conducted overseas and foreign investment in Hong Kong-basedissuers, which may result in a material change in our subsidiaries’ operations and/or the value of Intercont’s ordinary share. Any legal or regulatory changes that restrict or otherwise unfavorably impact our subsidiaries’ ability to conduct their business could decrease demand for their services, reduce revenues, increase costs, require them to obtain more licenses, permits, approvals or certificates, or subject them to additional liabilities. To the extent that any new or more stringent measures are implemented and applicable to our business, our business, financial condition and results of operations could be adversely affected, and the value of Intercont’s ordinary share could decrease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 exerts substantial influence and discretion over the manner in which companies incorporated under the laws of the PRC must conduct their business activities. Our subsidiaries are Singapore or Hong Kong based company with no substantive operations in the mainland of China. However, if we were to become subject to such direct influence or discretion, it may result in a material change in our operations and/or the value of Intercont’s Class A Ordinary Shares, which would materially affect the interest of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any operations in the mainland of China. All of our revenues are derived from our Shipping Subsidiaries headquartered in Hong Kong, a special administrative region of China. The PRC government currently does not exert direct influence and discretion over the manner in which we conduct our business activities outside of the mainland of China, however, there is no guarantee that we will not be subject to such direct influence or discretion in the future due to changes in laws or other unforeseeable reasons or as a result of our expansion or acquisition of operations in the mainland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became subject to the direct intervention or influence of the PRC government at any time due to changes in laws or other unforeseeable reasons or as a result of our development, expansion or acquisition of operations in the PRC, it may require a material change in our operations and/or result in increased costs necessary to comply with existing and newly adopted laws and regulations or penalties for any failure to comply. In addition, the market prices of Intercont’s Class A Ordinary Shares could be adversely affected as a result of anticipated negative impacts of any such government actions, as well as negative investor sentiment towards Hong Kong-based companies subject to direct PRC government oversight and regulation, regardless of our actual operating performance. There can be no assurance that the PRC government would not intervene in or influence our operations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(i) believe we are not subject to the Trial Measures: (ii) believe we are not required to obtain permissions from any PRC authorities to operate or issue Intercont’s Class A Ordinary Shares to foreign investors or trade of Intercont’s Class A Ordinary Shares on Nasdaq; (iii) are not subject to permission requirements from the China Securities Regulatory Commission (the “CSRC”), the Cyberspace Administration of China (the “CAC”) or any other entity that is required to approve of our subsidiaries’ operations; and (iv) have not received or were denied such permissions by any PRC authorities. Given the current PRC regulatory environment, it is uncertain when and whether we will be required to obtain permission from the PRC government to list on U.S. exchanges in the future, and even when such permission is obtained, whether it will be denied or rescinded. Therefore, our operations could be adversely affected, directly or indirectly, by existing or future laws and regulations relating to its business or industry. As a result, Intercont’s Class A Ordinary Shares may decline in value dramatically or even become worthless should we become subject to new requirement to obtain permission from the PRC government to list on U.S. exchange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Shipping Subsidiaries are subject to various evolving Hong Kong laws and regulations regarding data privacy, which could subject them to government enforcement actions and investigations, fines, penalties, and suspension or disruption of their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Hong Kong Subsidiaries operate their business in Hong Kong and are thus subject to the laws and regulations of Hong Kong in respect of data privacy and data protection. The main legislation in Hong Kong concerning data privacy is the Personal Data (Privacy) Ordinance (Chapter 486 of the Laws of Hong Kong) (“PDPO”), which regulates the collection, usage, storage, and transfer of personal data and imposes a statutory duty on data users to comply with the six data protection principles and other provisions contained therein. The PDPO applies to a person who, either alone or jointly or in common with other persons, controls the collection, holding, processing or use of personal data in or from Hong Kong. Our directors confirm to the best of their knowledge, information, and belief, as of the date of this prospectus, (i) each of the Hong Kong Subsidiaries has complied with the laws and requirements in respect of data privacy in Hong Kong; (ii) none of the Shipping Subsidiaries has been involved in any litigation or regulatory action relating to breach of the PDPO; and (iii) they are not aware of any non-compliance incidents relating to any breach of the PDPO by any of the Shipping Subsidiaries since their respective dates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data privacy requirements in a timely manner, or at all, may subject us and/or the Shipping Subsidiaries to consequences including but not limited to government enforcement actions and investigations, fines, penalties, and suspension or disruption of the Shipping Subsidiaries’ operations, which may in turn adversely affect our financial conditions,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Hong Kong Competition Law may result in material and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competitive industry and a highly competitive market. We may be subject to a variety of laws and other obligations regarding competition law in Hong Kong, and any failure to comply with applicable laws and obligations could have a material and adverse effect on our business, financial condition and results of operations. We face significant competition in the market due to a large amount of goods and service providers. We may be subject to the Competition Ordinance (Chapter 619 of the Laws of Hong Kong) (“Competition Ordinance”), which laid down three forms of behavior and imposes three rules which are intended to prevent and discourage anti-competitive conduct: (i) the first conduct rule prohibits agreements between undertakings that have the object or effect of preventing, restricting and distorting competition in Hong Kong; (ii) the second conduct rule prohibits undertakings with a substantial degree of market power in a market from abusing that power by engaging in conduct that has the object or effect of preventing, restricting and distorting competition in Hong Kong; and (iii) the merger rule prohibits mergers involving carrier licence holders within the meaning of the Telecommunications Ordinance (Chapter 106 of the Laws of Hong Kong) that have or are likely to have the effect of substantially lessening competition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confirm that to the best of their knowledge, information and belief, as at the date of this prospectus, they do not consider that the Company has adopted any anti-competitive conduct described in the Competition Ordinance and will ensure that the Company continues to act in compliance with the Competition Ordinance. However, there may be uncertainties on the full effect of the rules in respect of compliance, infringement, and its effect on our business in particular when tendering is involved in securing contracts. We may face difficulties and may need to incur legal costs in ensuring our compliance with the rules. If we face any complaints of infringement of the Competition Ordinance, we may incur substantial legal costs and may result in business disruption and/or negative media coverage, which could adversely affect our business, results of operations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become directly subject to the recent scrutiny, criticism and negative publicity involving U.S.-listed Chinese companies, we may have to expend significant resources to investigate and resolve the matter which could harm our business operations and our reputation and could result in a loss of your investment in Intercont’s Class A Ordinary Shares, especially if such matter cannot be addressed and resolved favorably.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around financial and accounting irregularities, a lack of effective internal controls over financial accounting and reporting,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and our business. If we become the subject of any unfavorable allegations, whether such allegations are proven to be true or untrue, we may have to expend significant resources to investigate such allegations and/or defend the Company. This situation may be a major distraction to our management. If such allegations are not proven to be groundless, our Company and business operations will be severely hampered and your investment in Intercont’s Class A Ordinary Shares could be rendered worthless. In addition, major issues with other U.S. listed Chinese companies in the future, could have a negative effect on the value of your investment, even though the Company is not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Intercont’s Class A Ordinary Shares could be adversely affected by increased tensions between the United States 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there have been heightened tensions in the economic and political relations between the U.S. and China. On June 30, 2020, the Standing Committee of the PRC National People’s Congress issued the Law of the PRC on Safeguarding National Security in the Hong Kong Special Administrative Region. This law defines the duties and government bodies of Hong Kong for safeguarding national security and four categories of offences — secession, subversion, terrorist activities and collusion with a foreign country or external elements to endanger national security — and their corresponding penalties. On July 14, 2020, the U.S. President signed the Hong Kong Autonomy Act, or HKAA, into law, authorizing the U.S. administration to impose blocking sanctions against individuals and entities who are determined to have materially contributed to the erosion of Hong Kong’s autonomy. The HKAA further authorizes secondary sanctions, including the imposition of blocking sanctions, against foreign financial institutions that knowingly conduct a significant transaction with foreign persons sanctioned under this authority. The imposition of sanctions such as those provided in the HKAA is in practice discretionary and highly political, especially in a relationship as extensive and complex as that between the U.S. and China. It is difficult to predict the full impact of the HKAA on Hong Kong and companies like us. Furthermore, legislative or administrative actions in respect of Sino-U.S. relations could cause investor uncertainty for affected issuers, including us, and the market price of Intercont’s Class A Ordinary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financial condition and results of operations, and/or the value of Intercont’s Class A Ordinary Shares or our ability to offer or continue to offer securities to investors may be materially and adversely affected to the extent the laws and regulations of the PRC become applicable to a company such as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any operations in the mainland of China. As a result, the laws and regulations of the PRC do not currently have any material impact on our business, financial condition and results of operations. However, as we operate in Hong Kong, a special administrative region of China, there is no guarantee that if certain existing or future laws of the PRC become applicable to a company such as us, it will not have a material adverse impact on our business, financial condition and results of operations and/or our ability to offer or continue to offer securities to investors, any of which may cause the value of such securities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Basic Law,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and so do not apply directly to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O</w:t>
      </w:r>
      <w:r>
        <w:rPr>
          <w:rFonts w:ascii="Times New Roman;Times;Serif" w:hAnsi="Times New Roman;Times;Serif"/>
          <w:b w:val="false"/>
          <w:i w:val="false"/>
          <w:caps w:val="false"/>
          <w:smallCaps w:val="false"/>
          <w:sz w:val="20"/>
        </w:rPr>
        <w:t>n the other hand, the laws and regulations in the PRC are evolving, and their enactment timetable, interpretation and implementation involve significant uncertainties. There is no assurance that there will not be any changes in the economic, political and legal environment in Hong Kong in the future. All of the legal and operational risks associated in operating in the PRC also apply to the operations of our Hong Kong Subsidiaries, and we face the risks and uncertainties associated with the complex and evolving PRC laws and regulations, as to whether and how the recent and future PRC government statements and regulatory developments (such as those relating to data security or anti-monopoly) would be applicable to the Hong Kong Subsidiaries and us, and as to the possibilities that Chinese government may exercise significant oversight over the conduct of business in Hong Kong. To the extent any PRC laws and regulations become applicable to us, we may be subject to the risks and uncertainties associated with the legal system in the PRC, including with respect to the enforcement of laws and the possibility of changes of rules and regulations with little or no advance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become subject to the laws and regulations of the PRC to the extent we commence business and customer facing operations in the mainland of China as a result of any future acquisition, expansion or organic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3"/>
      <w:bookmarkEnd w:id="6"/>
      <w:r>
        <w:rPr>
          <w:rFonts w:ascii="Times New Roman;Times;Serif" w:hAnsi="Times New Roman;Times;Serif"/>
          <w:b/>
          <w:i w:val="false"/>
          <w:caps w:val="false"/>
          <w:smallCaps w:val="false"/>
          <w:sz w:val="20"/>
        </w:rPr>
        <w:t>OFFER STATISTICS AND EXPECTED TIMETABLE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any combination of the securities described in this prospectus (as may be detailed in a prospectus supplement) up to a total dollar amount of US$200,000,000 in one or more offerings. The actual price per share of the shares that we or the selling shareholders will offer, or per security of the securities that we will offer, pursuant hereto will depend on a number of factors that may be relevant as of the time of offer. The securities offered under this prospectus may be offered separately, together, or in separate series, and in amounts, at prices, and on terms to be determined at the time of sale. We will keep the registration statement of which this prospectus is a part effective until such time as all of the securities covered by this prospectus have been disposed of pursuant to and in accordance with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4"/>
      <w:bookmarkEnd w:id="7"/>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a_005"/>
      <w:bookmarkEnd w:id="8"/>
      <w:r>
        <w:rPr>
          <w:rFonts w:ascii="Times New Roman;Times;Serif" w:hAnsi="Times New Roman;Times;Serif"/>
          <w:b/>
          <w:i w:val="false"/>
          <w:caps w:val="false"/>
          <w:smallCaps w:val="false"/>
          <w:sz w:val="20"/>
        </w:rPr>
        <w:t>DILUTION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25"/>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net tangible book value per share of our equity securities before and after the offering;</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amount of the increase in such net tangible book value per share attributable to the cash payments made by purchasers in the offering;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amount of the immediate dilution from the public offering price which will be absorbed by such purchasers.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6"/>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offered hereby. We intend to use the net proceeds from the sale of securities we offer as indicated in the applicable prospectus supplement, information incorporated by reference, or free writing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10" w:name="a_007"/>
      <w:bookmarkEnd w:id="10"/>
      <w:r>
        <w:rPr>
          <w:rFonts w:ascii="Times New Roman;Times;Serif" w:hAnsi="Times New Roman;Times;Serif"/>
          <w:b/>
          <w:i w:val="false"/>
          <w:caps w:val="false"/>
          <w:smallCaps w:val="false"/>
          <w:sz w:val="20"/>
        </w:rPr>
        <w:t>DIVIDENDS AND 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Intercont’s board of directors has discretion on whether to distribute dividends, subject to certain restrictions under Cayman Islands law. In addition, Intercont’s shareholders may by ordinary resolution declare a dividend, but no dividend may exceed the amount recommended by its board of directors. In either case, all dividends are subject to certain restrictions under Cayman Islands law, namely that Intercont may only pay dividends out of profits, share premium, or other funds legally available for distribution, and provided always that in no circumstances may a dividend be paid out of the share premium account if this would result in Intercont being unable to pay its debts as they fall due in the ordinary course of business immediately following the date on which the distribution is proposed to be paid. Even if Intercont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does not have any present plan to pay any cash dividends on its Class A Ordinary Shares in the foreseeable future after this offering. We currently intend to retain most, if not all, of our available funds and any future earnings to operate and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is a holding company incorporated in the Cayman Islands. Intercont may rely on dividends from its subsidiaries for its cash requirements, including any payment of dividends to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8"/>
      <w:bookmarkEnd w:id="11"/>
      <w:r>
        <w:rPr>
          <w:rFonts w:ascii="Times New Roman;Times;Serif" w:hAnsi="Times New Roman;Times;Serif"/>
          <w:b/>
          <w:i w:val="false"/>
          <w:caps w:val="false"/>
          <w:smallCaps w:val="false"/>
          <w:sz w:val="20"/>
        </w:rPr>
        <w:t xml:space="preserve">DESCRIPTION OF SHARE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is a Cayman Islands exempted company and its affairs are governed by its memorandum and articles of association, as amended from time to time, and the Companies Act (As Revised) of the Cayman Islands, which we refer to as the Companies Act below, and the common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Intercont’s authorized share capital is US$250,000,000.00, divided into 100,000,000,000 Ordinary Shares comprising (i) 80,000,000,000 Class A Ordinary Shares of a par value of US$0.0025 each and (ii) 20,000,000,000 Class B Ordinary Shares of a par value of US$0.0025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25,437,740 Class A Ordinary Shares and 206,598.04 Class B Ordinary Shares are issued and outstanding. All of our issued and outstanding Class A Ordinary Shares and Class B Ordinary Shares are fully paid and non-assessable. All of the Intercont’s Class A Ordinary Shares to be issued in the offering will be issued as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Intercont’s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is currently governed by its third amended and restated memorandum and articles of association adopted on June 5, 2026 (the “Amended M&amp;A”). Intercont held a meeting of holder of Class A Ordinary Shares and an extraordinary general meeting on June 5, 2026 to adopt, amongst other things, the Amended M&amp;A. The following are summaries of material provisions of Amended M&amp;A and of the Companies Act, insofar as they relate to the material terms of Intercont’s Class A Ordinary Shares and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Objects of Intercont.    </w:t>
      </w:r>
      <w:r>
        <w:rPr>
          <w:rFonts w:ascii="Times New Roman;Times;Serif" w:hAnsi="Times New Roman;Times;Serif"/>
          <w:b w:val="false"/>
          <w:i w:val="false"/>
          <w:caps w:val="false"/>
          <w:smallCaps w:val="false"/>
          <w:sz w:val="20"/>
        </w:rPr>
        <w:t>Under Intercont’s Amended M&amp;A, the objects of Intercont are unrestricted, and Intercont is capable of exercising all the functions of a natural person of full capacity irrespective of any question of corporate benefit, as provided by section 27(2) of the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Ordinary Shares.    </w:t>
      </w:r>
      <w:r>
        <w:rPr>
          <w:rFonts w:ascii="Times New Roman;Times;Serif" w:hAnsi="Times New Roman;Times;Serif"/>
          <w:b w:val="false"/>
          <w:i w:val="false"/>
          <w:caps w:val="false"/>
          <w:smallCaps w:val="false"/>
          <w:sz w:val="20"/>
        </w:rPr>
        <w:t>Our Class A Ordinary Shares and Class B Ordinary Shares are issued in registered form, and are issued when registered in our register of members. Unless the board of directors determine or the shareholder requests a share certificate in writing from us, otherwise, each holder of our Class A Ordinary Shares or Class B Ordinary Shares will not receive a certificate in respect of such shares. Our shareholders who are non-residents of the Cayman Islands may freely hold and vote their Class A Ordinary Shares and Class B Ordinary Shares. We may not issue shares or warrants to bearer.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share certificate of the Company shall bear legends required by the applicable laws, including the Securities Act and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our Amended M&amp;A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Cayman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    </w:t>
      </w:r>
      <w:r>
        <w:rPr>
          <w:rFonts w:ascii="Times New Roman;Times;Serif" w:hAnsi="Times New Roman;Times;Serif"/>
          <w:b w:val="false"/>
          <w:i w:val="false"/>
          <w:caps w:val="false"/>
          <w:smallCaps w:val="false"/>
          <w:sz w:val="20"/>
        </w:rPr>
        <w:t>The holders of Intercont’s Ordinary Shares are entitled to such dividends as may be declared by Intercont’s board of directors. Intercont’s Amended M&amp;A provide that dividends may be declared and paid out of the funds of Intercont lawfully available therefor. Under the laws of the Cayman Islands, Intercont may pay a dividend out of profit or share premium account or other funds legally available for distribution; provided that in no circumstances may a dividend be paid out of Intercont’s share premium account if this would result in Intercont being unable to pay its debts as they fall due in the ordinary course of business immediately following the date on which the distribution or dividend is proposed to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    </w:t>
      </w:r>
      <w:r>
        <w:rPr>
          <w:rFonts w:ascii="Times New Roman;Times;Serif" w:hAnsi="Times New Roman;Times;Serif"/>
          <w:b w:val="false"/>
          <w:i w:val="false"/>
          <w:caps w:val="false"/>
          <w:smallCaps w:val="false"/>
          <w:sz w:val="20"/>
        </w:rPr>
        <w:t>At any general meeting, a resolution put to the vote of the meeting shall be decided on a show of hands, unless a poll (before or on the declaration of the results of the show of hands) is demanded by:</w:t>
      </w:r>
    </w:p>
    <w:p>
      <w:pPr>
        <w:pStyle w:val="TextBody"/>
        <w:bidi w:val="0"/>
        <w:spacing w:before="0" w:after="0"/>
        <w:ind w:left="960" w:right="0" w:hanging="480"/>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pPr>
            <w:r>
              <w:rPr/>
              <w:t>the chairman of the meeting; or</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128" w:type="dxa"/>
        <w:jc w:val="left"/>
        <w:tblInd w:w="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pPr>
            <w:r>
              <w:rPr/>
              <w:t>one or more shareholder(s) present in person or by proxy entitled to vote.</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Intercont’s current Amended M&amp;A provide that on a poll, every shareholder who is present in person and every person representing a shareholder by proxy shall have one vote for each Class A Ordinary Share and one hundred (100) votes for each Class B Ordinary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including but not limited to a change of name, making changes to Intercont’s memorandum and articles of association and a reduction of Intercont’s share capital. Intercont’s shareholders may, among other things, divide or consolidate their shares by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Rights.    </w:t>
      </w:r>
      <w:r>
        <w:rPr>
          <w:rFonts w:ascii="Times New Roman;Times;Serif" w:hAnsi="Times New Roman;Times;Serif"/>
          <w:b w:val="false"/>
          <w:i w:val="false"/>
          <w:caps w:val="false"/>
          <w:smallCaps w:val="false"/>
          <w:sz w:val="20"/>
        </w:rPr>
        <w:t>In no event shall Class A Ordinary Shares be convertible into Class B Ordinary Shares. Class B Ordinary Shares are convertible, at the option of the holder thereof, into Class A Ordinary Shares on a one-to-one basis. Subject to our Amended M&amp;A, upon any transfer or disposition of Class B Ordinary Shares by a holder thereof to any person or entity which is not an affiliate of such holder, or upon a change of ultimate beneficial ownership of any Class B Ordinary Share to any person or entity which is not an affiliate of such holder, such Class B Ordinary Shares shall be automatically and immediately converted into the same number of Class A Ordinary Shares on a one-to-one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Alteration of Share Capital.    </w:t>
      </w:r>
      <w:r>
        <w:rPr>
          <w:rFonts w:ascii="Times New Roman;Times;Serif" w:hAnsi="Times New Roman;Times;Serif"/>
          <w:b w:val="false"/>
          <w:i w:val="false"/>
          <w:caps w:val="false"/>
          <w:smallCaps w:val="false"/>
          <w:sz w:val="20"/>
        </w:rPr>
        <w:t>We may from time to time by ordinary resolution of shareholders increase the share capital by such sum, to be divided into shares of such classes or series and amounts, as the resolution shall prescribe.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our shareholders may, by ordinary resolution: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a)</w:t>
            </w:r>
          </w:p>
        </w:tc>
        <w:tc>
          <w:tcPr>
            <w:tcW w:w="9974" w:type="dxa"/>
            <w:tcBorders/>
            <w:vAlign w:val="center"/>
          </w:tcPr>
          <w:p>
            <w:pPr>
              <w:pStyle w:val="TableContents"/>
              <w:bidi w:val="0"/>
              <w:spacing w:before="0" w:after="283"/>
              <w:jc w:val="both"/>
              <w:rPr/>
            </w:pPr>
            <w:r>
              <w:rPr/>
              <w:t>consolidate and divide all or any of our share capital into shares of lesser or larger amount than our existing shares;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b)</w:t>
            </w:r>
          </w:p>
        </w:tc>
        <w:tc>
          <w:tcPr>
            <w:tcW w:w="9960" w:type="dxa"/>
            <w:tcBorders/>
            <w:vAlign w:val="center"/>
          </w:tcPr>
          <w:p>
            <w:pPr>
              <w:pStyle w:val="TableContents"/>
              <w:bidi w:val="0"/>
              <w:spacing w:before="0" w:after="283"/>
              <w:jc w:val="both"/>
              <w:rPr/>
            </w:pPr>
            <w:r>
              <w:rPr/>
              <w:t>convert all or any of our paid-up shares into stock, and reconvert that stock into paid up shares of any denomination;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c)</w:t>
            </w:r>
          </w:p>
        </w:tc>
        <w:tc>
          <w:tcPr>
            <w:tcW w:w="10018" w:type="dxa"/>
            <w:tcBorders/>
            <w:vAlign w:val="center"/>
          </w:tcPr>
          <w:p>
            <w:pPr>
              <w:pStyle w:val="TableContents"/>
              <w:bidi w:val="0"/>
              <w:spacing w:before="0" w:after="283"/>
              <w:jc w:val="both"/>
              <w:rPr/>
            </w:pPr>
            <w:r>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d)</w:t>
            </w:r>
          </w:p>
        </w:tc>
        <w:tc>
          <w:tcPr>
            <w:tcW w:w="9994" w:type="dxa"/>
            <w:tcBorders/>
            <w:vAlign w:val="center"/>
          </w:tcPr>
          <w:p>
            <w:pPr>
              <w:pStyle w:val="TableContents"/>
              <w:bidi w:val="0"/>
              <w:spacing w:before="0" w:after="283"/>
              <w:jc w:val="both"/>
              <w:rPr/>
            </w:pPr>
            <w:r>
              <w:rPr/>
              <w:t>cancel any shares which, at the date of the passing of that ordinary resolution, have not been taken or agreed to be taken by any person and diminish the amount of our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to any rights for the time being conferred on the shareholders holding a particular class of shares, our shareholders may, by special resolution, reduce the Company’s share capital and any capital redemption reserve in any manner, authorized and with consent required by the Cayman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    </w:t>
      </w:r>
      <w:r>
        <w:rPr>
          <w:rFonts w:ascii="Times New Roman;Times;Serif" w:hAnsi="Times New Roman;Times;Serif"/>
          <w:b w:val="false"/>
          <w:i w:val="false"/>
          <w:caps w:val="false"/>
          <w:smallCaps w:val="false"/>
          <w:sz w:val="20"/>
        </w:rPr>
        <w:t>As a Cayman Islands exempted company, Intercont is not obliged by the Companies Act to call shareholders’ annual general meetings under the laws of the Cayman Islands. Intercont’s Amended M&amp;A provide that Intercont may (but shall not be obliged to), in each year hold a general meeting as its annual general meeting, and shall specify the meeting as such in the notices calling it, and the annual general meeting shall be held at such time and place as may be determined by Intercont’s directors. A shareholder who is entitled to participate in any specific or general meeting of the Company, may participate by means of telephone or similar communication equipment by way of which all persons participating in such meeting can hear each other and such participation shall be deemed to constitute presence in person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Intercont’s board of directors. Advance notice of not less than ten days (excluding the day service is deemed to take place as provided in the articles of association but including the day of the meeting) is required for the convening of Intercont’s annual general shareholders’ meeting (if any) and any other general meeting of Intercont’s shareholders. A quorum required for any general meeting of shareholders consists of, at the time when the meeting proceeds to business, one or more shareholders holding shares which carry in aggregate (or representing by proxy) not less than one-third of all votes attaching to issued and outstanding shares in Intercont entitled to vote at such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with any right to requisition a general meeting or to put any proposal before a general meeting. However, these rights may be provided in a company’s articles of association. Intercont’s Amended M&amp;A and Memorandum and Articles provide that upon the requisition of any one or more of Intercont’s shareholders which hold not less than 10% of the paid up voting share capital of Intercont, Intercont’s board will convene an extraordinary general meeting and put the resolutions so requisitioned to a vote at such meeting. However, Intercont’s Amended M&amp;A do not provide Intercont’s shareholders with any right to put any proposals before annual general meetings or extraordinary general meetings not called by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    </w:t>
      </w:r>
      <w:r>
        <w:rPr>
          <w:rFonts w:ascii="Times New Roman;Times;Serif" w:hAnsi="Times New Roman;Times;Serif"/>
          <w:b w:val="false"/>
          <w:i w:val="false"/>
          <w:caps w:val="false"/>
          <w:smallCaps w:val="false"/>
          <w:sz w:val="20"/>
        </w:rPr>
        <w:t>Subject to the restrictions set out below, any of Intercont’s shareholders may transfer all or any of his or her Ordinary Shares by an instrument of transfer in the usual or common form or any other form approved by Intercont’s board of directors. Notwithstanding the foregoing, Ordinary Shares may also be transferred in accordance with the applicable rules and regulations of the relevant stock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Intercont’s board of directors may, in its absolute discretion, decline to register any transfer of any ordinary share which is not fully paid up or on which Intercont has a lien. Intercont’s board of directors may also decline to register any transfer of any ordinary share unless: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instrument of transfer is lodged with us, accompanied by the certificate for the Ordinary Shares to which it relates and such other evidence as Intercont’s board of directors may reasonably require to show the right of the transferor to make the transfer;</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pPr>
            <w:r>
              <w:rPr/>
              <w:t>the instrument of transfer is in respect of only one class of Ordinary Shares;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the instrument of transfer is properly stamped, if required;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the case of a transfer to joint holders, the number of joint holders to whom the Ordinary Share is to be transferred does not exceed four;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fee of such maximum sum as the relevant stock exchange may determine to be payable or such lesser sum as Intercont’s directors may from time to time require is paid to us in respect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Intercont’s directors refuse to register a transfer they shall, within six weeks after the date on which the transfer was lodged with Intercont,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ten days’ notice being given by advertisement in such one or more newspapers, by electronic means or by other means in accordance with the rules of the relevant stock exchange, be suspended and the register closed at such times and for such periods as Intercont’s board of directors may from time to time determine; provided, however, that the registration of transfers shall not be suspended nor the register of members closed for more than 30 days in any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Class B Ordinary Shares will be subject to restrictions as mentioned in the “Conversion Rights”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Liquidation. </w:t>
      </w:r>
      <w:r>
        <w:rPr>
          <w:rFonts w:ascii="Times New Roman;Times;Serif" w:hAnsi="Times New Roman;Times;Serif"/>
          <w:b w:val="false"/>
          <w:i w:val="false"/>
          <w:caps w:val="false"/>
          <w:smallCaps w:val="false"/>
          <w:sz w:val="20"/>
        </w:rPr>
        <w:t>If Intercont shall be wound up, the liquidator, with the sanction of an ordinary resolution or any other sanction required by the Companies Act, divide amongst of Intercont in specie the whole or any part of the assets of Intercont (whether they shall consist of property of the same kind or not) and may, for such purpose set such value as he deems fair upon any property to be divided as aforesaid and may determine how such division shall be carried out between the shareholders or different class or series of shares. The liquidator may, with the like sanction, vest the whole or any part of such assets in trustees upon such trusts for the benefit of the contributories as the liquidator, with the like sanction shall think fit, but so that no shareholder shall be compelled to accept any shares or other securities whereon there is any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    </w:t>
      </w:r>
      <w:r>
        <w:rPr>
          <w:rFonts w:ascii="Times New Roman;Times;Serif" w:hAnsi="Times New Roman;Times;Serif"/>
          <w:b w:val="false"/>
          <w:i w:val="false"/>
          <w:caps w:val="false"/>
          <w:smallCaps w:val="false"/>
          <w:sz w:val="20"/>
        </w:rPr>
        <w:t>Intercont’s board of directors may from time to time make calls upon shareholders for any amounts unpaid on their shares and each shareholder shall (subject to receiving at least 14 days’ notice specifying the time and times of payment) pay to Intercont at the time or times so specified the amount called on such shares. If a shareholder fails to pay any call or instalment of a call in respect of partly paid shares on the day appointed for payment, Intercont’s board of directors may, at any time thereafter during such time as any part of such call or instalment remains unpaid, serve a notice on him requiring payment of so much of the call or instalment as is unpaid, together with any interest which may have accrued, naming a further day (not earlier than the expiration of 14 days from the date of the notice) on or before which the payment required by the notice is to be made and specifying that in the event of non-payment at or before the time appointed the shares in respect of which the call was made will be liable to be forfeited. If the requirement of any such notices as aforesaid are not complied with, any share in respect of which the notice has been given may, at any time thereafter before the payment required by notice has been made, be forfeited by a resolution of Intercont’s board of directors to that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    </w:t>
      </w:r>
      <w:r>
        <w:rPr>
          <w:rFonts w:ascii="Times New Roman;Times;Serif" w:hAnsi="Times New Roman;Times;Serif"/>
          <w:b w:val="false"/>
          <w:i w:val="false"/>
          <w:caps w:val="false"/>
          <w:smallCaps w:val="false"/>
          <w:sz w:val="20"/>
        </w:rPr>
        <w:t>Subject to the Companies Act and Intercont’s Amended M&amp;A</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Intercont may issue shares on terms that such shares are subject to redemption, at Intercont’s option or at the option of the holders of these shares, on such terms and in such manner as may be determined by either its board of directors or by special resolutions. Intercont may also repurchase any of its shares on such terms and in such manner as have been approved by its board of directors or by ordinary resolutions, or are otherwise authorized by Intercont’s Amended M&amp;A. Under the Companies Act, the redemption or repurchase of any share may be paid out of Intercont’s profits, share premium account or out of the proceeds of a new issue of shares made for the purpose of such redemption or repurchase, or out of capital if Intercont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Intercont may accept the surrender of any fully paid share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    </w:t>
      </w:r>
      <w:r>
        <w:rPr>
          <w:rFonts w:ascii="Times New Roman;Times;Serif" w:hAnsi="Times New Roman;Times;Serif"/>
          <w:b w:val="false"/>
          <w:i w:val="false"/>
          <w:caps w:val="false"/>
          <w:smallCaps w:val="false"/>
          <w:sz w:val="20"/>
        </w:rPr>
        <w:t xml:space="preserve">Whenever the capital of Intercont is divided into different classes the rights attached to any such class may, subject to any rights or restrictions for the time being attached to any class and the articles of association of the Company, only be materially adversely varied with the consent in writing of the holders of two-thirds of the issued shares of that class or series, or with the sanction of a resolution passed by a majority of two-thirds of the holders of shares of the class or series present in person or by proxy and entitled to vote at a separate meeting of the holders of the shares of the class or series. The special rights conferred upon the holders of the shares of any class issued with preferred or other rights shall not, unless otherwise expressly provided by the terms of issue of the shares of that class, be deemed to be materially varied by the creation, allotment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therewith or subsequent to them or the redemption or purchase of any share of any class by the Company. The rights attached to or otherwise conferred upon the holders of the shares of any class shall not be deemed to be materially adversely varied by the creation or issue of shares with preferred or other rights in accordance with the Amended M&amp;A.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    </w:t>
      </w:r>
      <w:r>
        <w:rPr>
          <w:rFonts w:ascii="Times New Roman;Times;Serif" w:hAnsi="Times New Roman;Times;Serif"/>
          <w:b w:val="false"/>
          <w:i w:val="false"/>
          <w:caps w:val="false"/>
          <w:smallCaps w:val="false"/>
          <w:sz w:val="20"/>
        </w:rPr>
        <w:t>Intercont’s Amended M&amp;A authorizes its board of directors to issue additional Ordinary Shares from time to time as its board of directors shall determine, to the extent of available 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Intercont’s Amended M&amp;A also authorizes its board of directors to establish from time to time one or more series of preference shares and to determine, with respect to any series of preference shares, the terms and rights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Intercont’s board of directors may issue preference shares without action by Intercont’s shareholders to the extent of available authorized but unissued preference shares.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shall not issue shares to bearer.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    </w:t>
      </w:r>
      <w:r>
        <w:rPr>
          <w:rFonts w:ascii="Times New Roman;Times;Serif" w:hAnsi="Times New Roman;Times;Serif"/>
          <w:b w:val="false"/>
          <w:i w:val="false"/>
          <w:caps w:val="false"/>
          <w:smallCaps w:val="false"/>
          <w:sz w:val="20"/>
        </w:rPr>
        <w:t>Holders of Intercont’s Ordinary Shares will have no general right under Cayman Islands law to inspect or obtain copies of Intercont’s register of members or its corporate records. Intercont’s Amended M&amp;A provide that no shareholder (not being a director) shall have any right of inspecting any account or book or document of Intercont except as conferred by law, the stock exchange rules or authorized by the directors or by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    </w:t>
      </w:r>
      <w:r>
        <w:rPr>
          <w:rFonts w:ascii="Times New Roman;Times;Serif" w:hAnsi="Times New Roman;Times;Serif"/>
          <w:b w:val="false"/>
          <w:i w:val="false"/>
          <w:caps w:val="false"/>
          <w:smallCaps w:val="false"/>
          <w:sz w:val="20"/>
        </w:rPr>
        <w:t>Some provisions of Intercont’s Amended M&amp;A may discourage, delay or prevent a change of control of Intercont or management that shareholders may consider favorable, including provisions that:</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authorize Intercont’s board of directors to issue preference shares in one or more series and to designate the price, rights, preferences, privileges and restrictions of such preference shares without any further vote or action by Intercont’s shareholders to the extent of available authorized but unissued preference shares; and</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960" w:right="0" w:hanging="48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pPr>
            <w:r>
              <w:rPr/>
              <w:t>limit the ability of shareholders to requisition and convene general meetings of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Intercont’s directors may only exercise the rights and powers granted to them under its memorandum and articles of association for a proper purpose and for what they believe in good faith to be in the best interests of Intercont.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    </w:t>
      </w:r>
      <w:r>
        <w:rPr>
          <w:rFonts w:ascii="Times New Roman;Times;Serif" w:hAnsi="Times New Roman;Times;Serif"/>
          <w:b w:val="false"/>
          <w:i w:val="false"/>
          <w:caps w:val="false"/>
          <w:smallCaps w:val="false"/>
          <w:sz w:val="20"/>
        </w:rPr>
        <w:t>Intercont is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960" w:right="0" w:hanging="48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pPr>
            <w:r>
              <w:rPr/>
              <w:t>does not have to file an annual return of its shareholders with the Registrar of Companies;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is not required to open its register of members for inspection;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does not have to hold an annual general meeting;</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pPr>
            <w:r>
              <w:rPr/>
              <w:t>may issue shares with no par value;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may obtain an undertaking against the imposition of any future taxation (such undertakings are usually given for 20 years in the first instance);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may register by way of continuation in another jurisdiction and be deregistered in the Cayman Islands;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pPr>
            <w:r>
              <w:rPr/>
              <w:t>may register as an exempted limited duration company;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pPr>
            <w:r>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    </w:t>
      </w:r>
      <w:r>
        <w:rPr>
          <w:rFonts w:ascii="Times New Roman;Times;Serif" w:hAnsi="Times New Roman;Times;Serif"/>
          <w:b w:val="false"/>
          <w:i w:val="false"/>
          <w:caps w:val="false"/>
          <w:smallCaps w:val="false"/>
          <w:sz w:val="20"/>
        </w:rPr>
        <w:t>The Companies Act permits mergers and combinations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“combination” means the combination of two or more constituent companies into a consolidated company and the vesting of the undertaking, property and liabilities of such companies to the consolidated company. In order to effect such a merger or combination, the directors of each constituent company must approve a written plan of merger or combination,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certificate of good standing, a director’s declaration as to the solvency of the consolidated or surviving company and other specified content as required by the Companies Act and an undertaking that a copy of the certificate of merger or combination will be given to the members and creditors of each constituent company and that notification of the merger or combination will be published in the Cayman Islands Gazette. Court approval is not required for a merger or consolidation which is effected in compliance with these statutory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combination is entitled to payment of the fair value of his shares (which, if not agreed between the parties, will be determined by the Cayman Islands court) upon dissenting to the merger or combination,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combination is void or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combinations, the Companies Act also contains statutory provisions that facilitate the reconstruction and amalgamation of companies by way of schemes of arrangement, provided that the arrangement is approved by seventy-five per cent in value of the members or class of members, as the case may be, with whom the arrangement is to be made and a majority in number of the creditors or each class of creditors with whom the arrangement is to be made, and who must in addition represent seventy-five per cent in value of the creditors or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960" w:right="0" w:hanging="48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pPr>
            <w:r>
              <w:rPr/>
              <w:t>the statutory provisions as to the required majority vote have been met;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arrangement is not one that would more properly be sanctioned under some other provision of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    </w:t>
      </w:r>
      <w:r>
        <w:rPr>
          <w:rFonts w:ascii="Times New Roman;Times;Serif" w:hAnsi="Times New Roman;Times;Serif"/>
          <w:b w:val="false"/>
          <w:i w:val="false"/>
          <w:caps w:val="false"/>
          <w:smallCaps w:val="false"/>
          <w:sz w:val="20"/>
        </w:rPr>
        <w:t>In principle, Intercont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and the exceptions thereto) so that a non-controlling shareholder may be permitted to commence a class action against or derivative actions in the name of the company to challenge actions where:</w:t>
      </w:r>
    </w:p>
    <w:p>
      <w:pPr>
        <w:pStyle w:val="TextBody"/>
        <w:bidi w:val="0"/>
        <w:spacing w:before="0" w:after="0"/>
        <w:ind w:left="960" w:right="0" w:hanging="48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7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both"/>
              <w:rPr/>
            </w:pPr>
            <w:r>
              <w:rPr/>
              <w:t>a company acts or proposes to act illegally or ultra vires;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act complained of, although not ultra vires, could only be effected duly if authorized by more than the number of votes which have actually been obtained;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pPr>
            <w:r>
              <w:rPr/>
              <w:t>those who control the company are perpetrating a “fraud on the minority.”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    </w:t>
      </w: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indemnified person’s own fraud or dishonesty, willful default or willful neglect, or against the consequences of committing a crime. Intercont’s memorandum and articles of association provide that that Intercont shall indemnify its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Intercont’s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Intercont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Intercont has entered into indemnification agreements with Intercont’s directors and executive officers that provide such persons with additional indemnification beyond that provided in Intercont’s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Intercont’s directors, officers or persons controlling us under the foregoing provisions, Intercont has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    </w:t>
      </w: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Resolution.    </w:t>
      </w:r>
      <w:r>
        <w:rPr>
          <w:rFonts w:ascii="Times New Roman;Times;Serif" w:hAnsi="Times New Roman;Times;Serif"/>
          <w:b w:val="false"/>
          <w:i w:val="false"/>
          <w:caps w:val="false"/>
          <w:smallCaps w:val="false"/>
          <w:sz w:val="20"/>
        </w:rPr>
        <w:t>Under the Delaware General Corporation Law (“DGCL”), a corporation may eliminate the right of shareholders to act by written resolution by amendment to its certificate of incorporation. Cayman Islands law permits us to eliminate the right of shareholders to act by written consent and Intercont’s amended and restated articles of association provide that any action required or permitted to be taken at any general meetings may be taken upon the vote of shareholders at a general meeting duly noticed and convened in accordance with Intercont’s amended and restated articles of association and may be taken by a unanimous written consent signed by or on behalf of each shareholder who would have been entitled to vote on such matter at a general meeting without a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    </w:t>
      </w:r>
      <w:r>
        <w:rPr>
          <w:rFonts w:ascii="Times New Roman;Times;Serif" w:hAnsi="Times New Roman;Times;Serif"/>
          <w:b w:val="false"/>
          <w:i w:val="false"/>
          <w:caps w:val="false"/>
          <w:smallCaps w:val="false"/>
          <w:sz w:val="20"/>
        </w:rPr>
        <w:t>Under the DGCL,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laws provide shareholders with only limited rights to requisition a general meeting and do not provide shareholders with any right to put any proposal before a general meeting. However, these rights may be provided in a company’s articles of association. Intercont’s amended and restated articles of association allow Intercont’s shareholders holding shares which carry in aggregate not less than 10% of the paid up voting share capital of the Company to requisition a general meeting of Intercont’s shareholders, in which case Intercont’s board is obliged to convene an extraordinary general meeting and to put the resolutions so requisitioned to a vote at such meeting. Other than this right to requisition a shareholders’ meeting, Intercont’s amended and restated articles of association do not provide Intercont’s shareholders with any other right to put proposals before annual general meetings or extraordinary general meetings. As an exempted Cayman Islands company, Intercont is not obliged by laws of the Cayman Islands to call shareholders’ annual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    </w:t>
      </w:r>
      <w:r>
        <w:rPr>
          <w:rFonts w:ascii="Times New Roman;Times;Serif" w:hAnsi="Times New Roman;Times;Serif"/>
          <w:b w:val="false"/>
          <w:i w:val="false"/>
          <w:caps w:val="false"/>
          <w:smallCaps w:val="false"/>
          <w:sz w:val="20"/>
        </w:rPr>
        <w:t>Under the DGCL,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Intercont’s amended and restated articles of association do not provide for cumulative voting. As a result, Intercont’s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    </w:t>
      </w:r>
      <w:r>
        <w:rPr>
          <w:rFonts w:ascii="Times New Roman;Times;Serif" w:hAnsi="Times New Roman;Times;Serif"/>
          <w:b w:val="false"/>
          <w:i w:val="false"/>
          <w:caps w:val="false"/>
          <w:smallCaps w:val="false"/>
          <w:sz w:val="20"/>
        </w:rPr>
        <w:t>Under the DGCL, a director of a corporation with a classified board may be removed only for cause with the approval of a majority of the outstanding shares entitled to vote, unless the certificate of incorporation provides otherwise. Under Intercont’s amended and restated articles of association, subject to certain restrictions as contained therein, directors may be removed with or without cause, by an ordinary resolution of Intercont’s shareholders. Under Intercont’s amended and restated articles of association, a director’s office shall be vacated if the director (i) becomes bankrupt makes any arrangement or composition with his creditors; (ii) is found to be or becomes of unsound mind or dies; (iii) resigns his office by notice in writing to the company; (iv) without special leave of absence from Intercont’s board of directors, is absent from three consecutive meetings of the board and the board resolves that his office be vacated; (v) is prohibited by law from being a director or; (vi) is removed from office by ordinary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    </w:t>
      </w:r>
      <w:r>
        <w:rPr>
          <w:rFonts w:ascii="Times New Roman;Times;Serif" w:hAnsi="Times New Roman;Times;Serif"/>
          <w:b w:val="false"/>
          <w:i w:val="false"/>
          <w:caps w:val="false"/>
          <w:smallCaps w:val="false"/>
          <w:sz w:val="20"/>
        </w:rPr>
        <w:t>The DGCL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Intercont cannot avail itself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    </w:t>
      </w:r>
      <w:r>
        <w:rPr>
          <w:rFonts w:ascii="Times New Roman;Times;Serif" w:hAnsi="Times New Roman;Times;Serif"/>
          <w:b w:val="false"/>
          <w:i w:val="false"/>
          <w:caps w:val="false"/>
          <w:smallCaps w:val="false"/>
          <w:sz w:val="20"/>
        </w:rPr>
        <w:t>Under the DGCL,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voluntarily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 of Rights of Shares.    </w:t>
      </w:r>
      <w:r>
        <w:rPr>
          <w:rFonts w:ascii="Times New Roman;Times;Serif" w:hAnsi="Times New Roman;Times;Serif"/>
          <w:b w:val="false"/>
          <w:i w:val="false"/>
          <w:caps w:val="false"/>
          <w:smallCaps w:val="false"/>
          <w:sz w:val="20"/>
        </w:rPr>
        <w:t>Under the DGCL, a corporation may vary the rights of a class of shares with the approval of a majority of the outstanding shares of such class, unless the certificate of incorporation provides otherwise. Under Intercont’s amended and restated articles of association, if Intercont’s share capital is divided into more than one class of shares, the rights attached to any such class may only be varied with the consent in writing of the holders of two-thirds of the issued shares of that class or series, or with the sanction of a resolution passed by at least a two-thirds majority of the holders of shares of the class or series present in person or by proxy and entitled to vote at a separate meeting of the holders of the shares of the class or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    </w:t>
      </w:r>
      <w:r>
        <w:rPr>
          <w:rFonts w:ascii="Times New Roman;Times;Serif" w:hAnsi="Times New Roman;Times;Serif"/>
          <w:b w:val="false"/>
          <w:i w:val="false"/>
          <w:caps w:val="false"/>
          <w:smallCaps w:val="false"/>
          <w:sz w:val="20"/>
        </w:rPr>
        <w:t>Under the DGCL, a corporation’s governing documents may be amended with the approval of a majority of the outstanding shares entitled to vote, unless the certificate of incorporation provides otherwise. Under Cayman Islands law, Intercont’s memorandum and articles of association may only be amended with a special resolution of Intercont’s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    </w:t>
      </w:r>
      <w:r>
        <w:rPr>
          <w:rFonts w:ascii="Times New Roman;Times;Serif" w:hAnsi="Times New Roman;Times;Serif"/>
          <w:b w:val="false"/>
          <w:i w:val="false"/>
          <w:caps w:val="false"/>
          <w:smallCaps w:val="false"/>
          <w:sz w:val="20"/>
        </w:rPr>
        <w:t>There are no limitations imposed by Intercont’s memorandum and articles of association on the rights of non-resident or foreign shareholders to hold or exercise voting rights on Intercont’s shares. In addition, there are no provisions in Intercont’s memorandum and articles of association governing the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Intercont’s Ordinary Shares is Transhare Corporation. The transfer agent and registrar’s address is Bayside Center 1, 17755 US Highway 19 N, Suite 140, Clearwater FL 33764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09"/>
      <w:bookmarkEnd w:id="12"/>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“debt securities” means the debentures, notes, bonds, and other evidences of indebtedness that we may issue from time to time. The debt securities will either be senior debt securities or subordinated debt securities. Debt securities will be issued under an indenture between us and a trustee to be named therein. We have filed the forms of indentures as exhibits to the registration statement of which this prospectus is a part. We may issue debt securities which may or may not be converted into our Class A Ordinary Shares or Class B Ordinary Shares. It is likely that convertible debt securities will not be issued under an indenture. We may issue the debt securities independently or together with any underlying securities, and debt securities may be attached or separate from the underlying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debt securities. See “Where You Can Find Additional Information” and “Incorporation of Documents by Reference” below for information on how to obtain a copy of a debt securities document when it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debt securities, we mean all debt securities issued as part of the same series under the applicable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debt securities that we may offer,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amount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or amounts of the debt securities will be issued and interest rate;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price at which the debt securities may be converted;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convert the debt securities will commence and the date on which the right will expire;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debt securities that may be converted at any one time;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material federal income tax consideration;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terms of the payoff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identity of the indenture agent,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and conditions relating to the conversion of the debt securities;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debt securities, including terms, procedure and limitation relating to the exchange or conversion of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in registered form  i.e., book-entry form, which will be represented by a global security registered in the name of a depository, 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of their debt securities, holders of debt securities convertible for Class A Ordinary Shares or Class B Ordinary Shares will not have any rights of holders of Class A Ordinary Shares or Class B Ordinary Shares, and will not be entitled to dividend payments, if any, or voting rights of the Class A Ordinary Shares or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security may entitle the holder to purchase, in exchange for the extinguishment of debt, an amount of Class A Ordinary Shares or Class B Ordinary Shares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0"/>
      <w:bookmarkEnd w:id="13"/>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Class A Ordinary Shares or Class B Ordinary Shares.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Documents by Reference” below for information on how to obtain a copy of a warrant document when it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warrants, we mean all warrants issued as part of the same series under the applicable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of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total number of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price or prices at which the warrants will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price or prices at which the warrants may be exercised;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currency or currencies that investors may use to pay for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on which the right to exercise the warrants will commence and the date on which the right will expire;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with respect to book-entry procedures,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minimum or maximum amount of warrants that may be exercised at any one 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if applicable, the designation and terms of the underlying securities with which the warrants are issued and the number of warrants issued with each underlying security;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if applicable, the date on and after which the warrants and the related underlying securities will be separately transferable;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a discussion of material federal income tax considerations;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terms of redemption of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identity of the warrant agent,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procedures and conditions relating to the exercise of the warrants;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any other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will be issued in registered form, i.e., book-entry form, which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exercisable for Class A Ordinary Shares or Class B Ordinary Shares will not have any rights of holders of Class A Ordinary Shares or Class B Ordinary Shares and will not be entitled to dividend payments, if any, or voting rights of the Class A Ordinary Shares or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Class A Ordinary Shares or Class B Ordinary Shares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issue, as soon as practicable, the Class A Ordinary Shares or Class B Ordinary Shares purchasable upon such exercise. If less than all of the warrants represented by such warrant certificate are exercised, a new warrant certificate will be issued for the remaining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1"/>
      <w:bookmarkEnd w:id="14"/>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Class A Ordinary Shares that we may offer to our securityholders.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left"/>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38"/>
        <w:gridCol w:w="170"/>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pPr>
            <w:r>
              <w:rPr/>
              <w:t>the date of determining the securityholders entitled to the rights distribution;</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aggregate number of rights issued and the aggregate number of Ordinary Shares purchasable upon exercise of the rights;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both"/>
              <w:rPr/>
            </w:pPr>
            <w:r>
              <w:rPr/>
              <w:t>the exercise price;</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the conditions to completion of the rights offering;</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date on which the right to exercise the rights will commence and the date on which the rights will expire;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pPr>
            <w:r>
              <w:rPr/>
              <w:t>applicable federal income tax considerations.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2"/>
      <w:bookmarkEnd w:id="15"/>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Class A Ordinary Shares, Class B Ordinary Shares, warrants, debt securities and rights.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“Where You Can Find Additional Information” and “Incorporation of Documents by Reference” below for information on how to obtain a copy of a document when it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provisions for the issuance, payment, settlement, transfer or exchange of the units or of the securities comprising the units;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pPr>
            <w:r>
              <w:rPr/>
              <w:t>whether the units will be issued in fully registered or global form;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pPr>
            <w:r>
              <w:rPr/>
              <w:t>Any other terms of the units.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“Description of Share Capital,” “Description of Debt Securities,” “Description of Warrants,” and “Description of Rights” above, will apply to each unit and to each security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3"/>
      <w:bookmarkEnd w:id="1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3065" w:type="dxa"/>
        <w:jc w:val="left"/>
        <w:tblInd w:w="0" w:type="dxa"/>
        <w:tblLayout w:type="fixed"/>
        <w:tblCellMar>
          <w:top w:w="0" w:type="dxa"/>
          <w:left w:w="0" w:type="dxa"/>
          <w:bottom w:w="0" w:type="dxa"/>
          <w:right w:w="0" w:type="dxa"/>
        </w:tblCellMar>
      </w:tblPr>
      <w:tblGrid>
        <w:gridCol w:w="435"/>
        <w:gridCol w:w="420"/>
        <w:gridCol w:w="2210"/>
      </w:tblGrid>
      <w:tr>
        <w:trPr/>
        <w:tc>
          <w:tcPr>
            <w:tcW w:w="435" w:type="dxa"/>
            <w:tcBorders/>
            <w:vAlign w:val="center"/>
          </w:tcPr>
          <w:p>
            <w:pPr>
              <w:pStyle w:val="TableContents"/>
              <w:bidi w:val="0"/>
              <w:spacing w:before="0" w:after="283"/>
              <w:ind w:left="0" w:right="0" w:firstLine="360"/>
              <w:jc w:val="both"/>
              <w:rPr/>
            </w:pPr>
            <w:r>
              <w:rPr/>
              <w:t> </w:t>
            </w:r>
          </w:p>
        </w:tc>
        <w:tc>
          <w:tcPr>
            <w:tcW w:w="420" w:type="dxa"/>
            <w:tcBorders/>
            <w:vAlign w:val="center"/>
          </w:tcPr>
          <w:p>
            <w:pPr>
              <w:pStyle w:val="TableContents"/>
              <w:bidi w:val="0"/>
              <w:spacing w:before="0" w:after="283"/>
              <w:jc w:val="both"/>
              <w:rPr/>
            </w:pPr>
            <w:r>
              <w:rPr/>
              <w:t>●</w:t>
            </w:r>
          </w:p>
        </w:tc>
        <w:tc>
          <w:tcPr>
            <w:tcW w:w="2210" w:type="dxa"/>
            <w:tcBorders/>
            <w:vAlign w:val="center"/>
          </w:tcPr>
          <w:p>
            <w:pPr>
              <w:pStyle w:val="TableContents"/>
              <w:bidi w:val="0"/>
              <w:spacing w:before="0" w:after="283"/>
              <w:ind w:left="0" w:right="0" w:firstLine="360"/>
              <w:jc w:val="both"/>
              <w:rPr>
                <w:rFonts w:ascii="Times New Roman;Times;Serif" w:hAnsi="Times New Roman;Times;Serif"/>
                <w:sz w:val="20"/>
              </w:rPr>
            </w:pPr>
            <w:r>
              <w:rPr>
                <w:rFonts w:ascii="Times New Roman;Times;Serif" w:hAnsi="Times New Roman;Times;Serif"/>
                <w:sz w:val="20"/>
              </w:rPr>
              <w:t>through agents;</w:t>
            </w:r>
          </w:p>
        </w:tc>
      </w:tr>
      <w:tr>
        <w:trPr/>
        <w:tc>
          <w:tcPr>
            <w:tcW w:w="435" w:type="dxa"/>
            <w:tcBorders/>
            <w:vAlign w:val="center"/>
          </w:tcPr>
          <w:p>
            <w:pPr>
              <w:pStyle w:val="TableContents"/>
              <w:bidi w:val="0"/>
              <w:spacing w:before="0" w:after="283"/>
              <w:ind w:left="0" w:right="0" w:firstLine="360"/>
              <w:jc w:val="both"/>
              <w:rPr/>
            </w:pPr>
            <w:r>
              <w:rPr/>
              <w:t> </w:t>
            </w:r>
          </w:p>
        </w:tc>
        <w:tc>
          <w:tcPr>
            <w:tcW w:w="420" w:type="dxa"/>
            <w:tcBorders/>
            <w:vAlign w:val="center"/>
          </w:tcPr>
          <w:p>
            <w:pPr>
              <w:pStyle w:val="TableContents"/>
              <w:bidi w:val="0"/>
              <w:spacing w:before="0" w:after="283"/>
              <w:ind w:left="0" w:right="0" w:firstLine="360"/>
              <w:jc w:val="both"/>
              <w:rPr/>
            </w:pPr>
            <w:r>
              <w:rPr/>
              <w:t> </w:t>
            </w:r>
          </w:p>
        </w:tc>
        <w:tc>
          <w:tcPr>
            <w:tcW w:w="2210" w:type="dxa"/>
            <w:tcBorders/>
            <w:vAlign w:val="center"/>
          </w:tcPr>
          <w:p>
            <w:pPr>
              <w:pStyle w:val="TableContents"/>
              <w:bidi w:val="0"/>
              <w:spacing w:before="0" w:after="283"/>
              <w:ind w:left="0" w:right="0" w:firstLine="360"/>
              <w:jc w:val="both"/>
              <w:rPr/>
            </w:pPr>
            <w:r>
              <w:rPr/>
              <w:t> </w:t>
            </w:r>
          </w:p>
        </w:tc>
      </w:tr>
      <w:tr>
        <w:trPr/>
        <w:tc>
          <w:tcPr>
            <w:tcW w:w="435" w:type="dxa"/>
            <w:tcBorders/>
            <w:vAlign w:val="center"/>
          </w:tcPr>
          <w:p>
            <w:pPr>
              <w:pStyle w:val="TableContents"/>
              <w:bidi w:val="0"/>
              <w:spacing w:before="0" w:after="283"/>
              <w:jc w:val="both"/>
              <w:rPr/>
            </w:pPr>
            <w:r>
              <w:rPr/>
              <w:t> </w:t>
            </w:r>
          </w:p>
        </w:tc>
        <w:tc>
          <w:tcPr>
            <w:tcW w:w="420" w:type="dxa"/>
            <w:tcBorders/>
            <w:vAlign w:val="center"/>
          </w:tcPr>
          <w:p>
            <w:pPr>
              <w:pStyle w:val="TableContents"/>
              <w:bidi w:val="0"/>
              <w:spacing w:before="0" w:after="283"/>
              <w:jc w:val="both"/>
              <w:rPr/>
            </w:pPr>
            <w:r>
              <w:rPr/>
              <w:t>●</w:t>
            </w:r>
          </w:p>
        </w:tc>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or through underwriters;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5"/>
        <w:gridCol w:w="420"/>
        <w:gridCol w:w="9350"/>
      </w:tblGrid>
      <w:tr>
        <w:trPr/>
        <w:tc>
          <w:tcPr>
            <w:tcW w:w="435" w:type="dxa"/>
            <w:tcBorders/>
            <w:vAlign w:val="center"/>
          </w:tcPr>
          <w:p>
            <w:pPr>
              <w:pStyle w:val="TableContents"/>
              <w:bidi w:val="0"/>
              <w:spacing w:before="0" w:after="283"/>
              <w:ind w:left="0" w:right="0" w:firstLine="360"/>
              <w:jc w:val="both"/>
              <w:rPr/>
            </w:pPr>
            <w:r>
              <w:rPr/>
              <w:t> </w:t>
            </w:r>
          </w:p>
        </w:tc>
        <w:tc>
          <w:tcPr>
            <w:tcW w:w="420" w:type="dxa"/>
            <w:tcBorders/>
            <w:vAlign w:val="center"/>
          </w:tcPr>
          <w:p>
            <w:pPr>
              <w:pStyle w:val="TableContents"/>
              <w:bidi w:val="0"/>
              <w:spacing w:before="0" w:after="283"/>
              <w:jc w:val="both"/>
              <w:rPr/>
            </w:pPr>
            <w:r>
              <w:rPr/>
              <w:t>●</w:t>
            </w:r>
          </w:p>
        </w:tc>
        <w:tc>
          <w:tcPr>
            <w:tcW w:w="9350" w:type="dxa"/>
            <w:tcBorders/>
            <w:vAlign w:val="center"/>
          </w:tcPr>
          <w:p>
            <w:pPr>
              <w:pStyle w:val="TableContents"/>
              <w:bidi w:val="0"/>
              <w:spacing w:before="0" w:after="283"/>
              <w:ind w:left="0" w:right="0" w:firstLine="360"/>
              <w:jc w:val="both"/>
              <w:rPr>
                <w:rFonts w:ascii="Times New Roman;Times;Serif" w:hAnsi="Times New Roman;Times;Serif"/>
                <w:sz w:val="20"/>
              </w:rPr>
            </w:pPr>
            <w:r>
              <w:rPr>
                <w:rFonts w:ascii="Times New Roman;Times;Serif" w:hAnsi="Times New Roman;Times;Serif"/>
                <w:sz w:val="20"/>
              </w:rPr>
              <w:t>through broker-dealers (acting as agent or principal);</w:t>
            </w:r>
          </w:p>
        </w:tc>
      </w:tr>
      <w:tr>
        <w:trPr/>
        <w:tc>
          <w:tcPr>
            <w:tcW w:w="435" w:type="dxa"/>
            <w:tcBorders/>
            <w:vAlign w:val="center"/>
          </w:tcPr>
          <w:p>
            <w:pPr>
              <w:pStyle w:val="TableContents"/>
              <w:bidi w:val="0"/>
              <w:spacing w:before="0" w:after="283"/>
              <w:ind w:left="0" w:right="0" w:firstLine="360"/>
              <w:jc w:val="both"/>
              <w:rPr/>
            </w:pPr>
            <w:r>
              <w:rPr/>
              <w:t> </w:t>
            </w:r>
          </w:p>
        </w:tc>
        <w:tc>
          <w:tcPr>
            <w:tcW w:w="420" w:type="dxa"/>
            <w:tcBorders/>
            <w:vAlign w:val="center"/>
          </w:tcPr>
          <w:p>
            <w:pPr>
              <w:pStyle w:val="TableContents"/>
              <w:bidi w:val="0"/>
              <w:spacing w:before="0" w:after="283"/>
              <w:ind w:left="0" w:right="0" w:firstLine="360"/>
              <w:jc w:val="both"/>
              <w:rPr/>
            </w:pPr>
            <w:r>
              <w:rPr/>
              <w:t> </w:t>
            </w:r>
          </w:p>
        </w:tc>
        <w:tc>
          <w:tcPr>
            <w:tcW w:w="9350" w:type="dxa"/>
            <w:tcBorders/>
            <w:vAlign w:val="center"/>
          </w:tcPr>
          <w:p>
            <w:pPr>
              <w:pStyle w:val="TableContents"/>
              <w:bidi w:val="0"/>
              <w:spacing w:before="0" w:after="283"/>
              <w:ind w:left="0" w:right="0" w:firstLine="360"/>
              <w:jc w:val="both"/>
              <w:rPr/>
            </w:pPr>
            <w:r>
              <w:rPr/>
              <w:t> </w:t>
            </w:r>
          </w:p>
        </w:tc>
      </w:tr>
      <w:tr>
        <w:trPr/>
        <w:tc>
          <w:tcPr>
            <w:tcW w:w="435" w:type="dxa"/>
            <w:tcBorders/>
            <w:vAlign w:val="center"/>
          </w:tcPr>
          <w:p>
            <w:pPr>
              <w:pStyle w:val="TableContents"/>
              <w:bidi w:val="0"/>
              <w:spacing w:before="0" w:after="283"/>
              <w:jc w:val="both"/>
              <w:rPr/>
            </w:pPr>
            <w:r>
              <w:rPr/>
              <w:t> </w:t>
            </w:r>
          </w:p>
        </w:tc>
        <w:tc>
          <w:tcPr>
            <w:tcW w:w="420" w:type="dxa"/>
            <w:tcBorders/>
            <w:vAlign w:val="center"/>
          </w:tcPr>
          <w:p>
            <w:pPr>
              <w:pStyle w:val="TableContents"/>
              <w:bidi w:val="0"/>
              <w:spacing w:before="0" w:after="283"/>
              <w:jc w:val="both"/>
              <w:rPr/>
            </w:pPr>
            <w:r>
              <w:rPr/>
              <w:t>●</w:t>
            </w:r>
          </w:p>
        </w:tc>
        <w:tc>
          <w:tcPr>
            <w:tcW w:w="9350" w:type="dxa"/>
            <w:tcBorders/>
            <w:vAlign w:val="center"/>
          </w:tcPr>
          <w:p>
            <w:pPr>
              <w:pStyle w:val="TableContents"/>
              <w:bidi w:val="0"/>
              <w:spacing w:before="0" w:after="283"/>
              <w:ind w:left="0" w:right="0" w:firstLine="360"/>
              <w:jc w:val="left"/>
              <w:rPr/>
            </w:pPr>
            <w:r>
              <w:rPr/>
              <w:t>directly by us to purchasers (including our affiliates and shareholders), through a specific bidding or auction process, a rights offering, or other method;</w:t>
            </w:r>
          </w:p>
        </w:tc>
      </w:tr>
      <w:tr>
        <w:trPr/>
        <w:tc>
          <w:tcPr>
            <w:tcW w:w="435" w:type="dxa"/>
            <w:tcBorders/>
            <w:vAlign w:val="center"/>
          </w:tcPr>
          <w:p>
            <w:pPr>
              <w:pStyle w:val="TableContents"/>
              <w:bidi w:val="0"/>
              <w:spacing w:before="0" w:after="283"/>
              <w:ind w:left="0" w:right="0" w:firstLine="360"/>
              <w:jc w:val="both"/>
              <w:rPr/>
            </w:pPr>
            <w:r>
              <w:rPr/>
              <w:t> </w:t>
            </w:r>
          </w:p>
        </w:tc>
        <w:tc>
          <w:tcPr>
            <w:tcW w:w="420" w:type="dxa"/>
            <w:tcBorders/>
            <w:vAlign w:val="center"/>
          </w:tcPr>
          <w:p>
            <w:pPr>
              <w:pStyle w:val="TableContents"/>
              <w:bidi w:val="0"/>
              <w:spacing w:before="0" w:after="283"/>
              <w:ind w:left="0" w:right="0" w:firstLine="360"/>
              <w:jc w:val="both"/>
              <w:rPr/>
            </w:pPr>
            <w:r>
              <w:rPr/>
              <w:t> </w:t>
            </w:r>
          </w:p>
        </w:tc>
        <w:tc>
          <w:tcPr>
            <w:tcW w:w="9350" w:type="dxa"/>
            <w:tcBorders/>
            <w:vAlign w:val="center"/>
          </w:tcPr>
          <w:p>
            <w:pPr>
              <w:pStyle w:val="TableContents"/>
              <w:bidi w:val="0"/>
              <w:spacing w:before="0" w:after="283"/>
              <w:ind w:left="0" w:right="0" w:firstLine="360"/>
              <w:jc w:val="both"/>
              <w:rPr/>
            </w:pPr>
            <w:r>
              <w:rPr/>
              <w:t> </w:t>
            </w:r>
          </w:p>
        </w:tc>
      </w:tr>
      <w:tr>
        <w:trPr/>
        <w:tc>
          <w:tcPr>
            <w:tcW w:w="435" w:type="dxa"/>
            <w:tcBorders/>
            <w:vAlign w:val="center"/>
          </w:tcPr>
          <w:p>
            <w:pPr>
              <w:pStyle w:val="TableContents"/>
              <w:bidi w:val="0"/>
              <w:spacing w:before="0" w:after="283"/>
              <w:jc w:val="both"/>
              <w:rPr/>
            </w:pPr>
            <w:r>
              <w:rPr/>
              <w:t> </w:t>
            </w:r>
          </w:p>
        </w:tc>
        <w:tc>
          <w:tcPr>
            <w:tcW w:w="420" w:type="dxa"/>
            <w:tcBorders/>
            <w:vAlign w:val="center"/>
          </w:tcPr>
          <w:p>
            <w:pPr>
              <w:pStyle w:val="TableContents"/>
              <w:bidi w:val="0"/>
              <w:spacing w:before="0" w:after="283"/>
              <w:jc w:val="both"/>
              <w:rPr/>
            </w:pPr>
            <w:r>
              <w:rPr/>
              <w:t>●</w:t>
            </w:r>
          </w:p>
        </w:tc>
        <w:tc>
          <w:tcPr>
            <w:tcW w:w="9350" w:type="dxa"/>
            <w:tcBorders/>
            <w:vAlign w:val="center"/>
          </w:tcPr>
          <w:p>
            <w:pPr>
              <w:pStyle w:val="TableContents"/>
              <w:bidi w:val="0"/>
              <w:spacing w:before="0" w:after="283"/>
              <w:ind w:left="0" w:right="0" w:firstLine="360"/>
              <w:jc w:val="both"/>
              <w:rPr>
                <w:rFonts w:ascii="Times New Roman;Times;Serif" w:hAnsi="Times New Roman;Times;Serif"/>
                <w:sz w:val="20"/>
              </w:rPr>
            </w:pPr>
            <w:r>
              <w:rPr>
                <w:rFonts w:ascii="Times New Roman;Times;Serif" w:hAnsi="Times New Roman;Times;Serif"/>
                <w:sz w:val="20"/>
              </w:rPr>
              <w:t>through a combination of any such methods of sale; or</w:t>
            </w:r>
          </w:p>
        </w:tc>
      </w:tr>
      <w:tr>
        <w:trPr/>
        <w:tc>
          <w:tcPr>
            <w:tcW w:w="435" w:type="dxa"/>
            <w:tcBorders/>
            <w:vAlign w:val="center"/>
          </w:tcPr>
          <w:p>
            <w:pPr>
              <w:pStyle w:val="TableContents"/>
              <w:bidi w:val="0"/>
              <w:spacing w:before="0" w:after="283"/>
              <w:ind w:left="0" w:right="0" w:firstLine="360"/>
              <w:jc w:val="both"/>
              <w:rPr/>
            </w:pPr>
            <w:r>
              <w:rPr/>
              <w:t> </w:t>
            </w:r>
          </w:p>
        </w:tc>
        <w:tc>
          <w:tcPr>
            <w:tcW w:w="420" w:type="dxa"/>
            <w:tcBorders/>
            <w:vAlign w:val="center"/>
          </w:tcPr>
          <w:p>
            <w:pPr>
              <w:pStyle w:val="TableContents"/>
              <w:bidi w:val="0"/>
              <w:spacing w:before="0" w:after="283"/>
              <w:ind w:left="0" w:right="0" w:firstLine="360"/>
              <w:jc w:val="both"/>
              <w:rPr/>
            </w:pPr>
            <w:r>
              <w:rPr/>
              <w:t> </w:t>
            </w:r>
          </w:p>
        </w:tc>
        <w:tc>
          <w:tcPr>
            <w:tcW w:w="9350" w:type="dxa"/>
            <w:tcBorders/>
            <w:vAlign w:val="center"/>
          </w:tcPr>
          <w:p>
            <w:pPr>
              <w:pStyle w:val="TableContents"/>
              <w:bidi w:val="0"/>
              <w:spacing w:before="0" w:after="283"/>
              <w:ind w:left="0" w:right="0" w:firstLine="360"/>
              <w:jc w:val="both"/>
              <w:rPr/>
            </w:pPr>
            <w:r>
              <w:rPr/>
              <w:t> </w:t>
            </w:r>
          </w:p>
        </w:tc>
      </w:tr>
      <w:tr>
        <w:trPr/>
        <w:tc>
          <w:tcPr>
            <w:tcW w:w="435" w:type="dxa"/>
            <w:tcBorders/>
            <w:vAlign w:val="center"/>
          </w:tcPr>
          <w:p>
            <w:pPr>
              <w:pStyle w:val="TableContents"/>
              <w:bidi w:val="0"/>
              <w:spacing w:before="0" w:after="283"/>
              <w:jc w:val="both"/>
              <w:rPr/>
            </w:pPr>
            <w:r>
              <w:rPr/>
              <w:t> </w:t>
            </w:r>
          </w:p>
        </w:tc>
        <w:tc>
          <w:tcPr>
            <w:tcW w:w="420" w:type="dxa"/>
            <w:tcBorders/>
            <w:vAlign w:val="center"/>
          </w:tcPr>
          <w:p>
            <w:pPr>
              <w:pStyle w:val="TableContents"/>
              <w:bidi w:val="0"/>
              <w:spacing w:before="0" w:after="283"/>
              <w:jc w:val="both"/>
              <w:rPr/>
            </w:pPr>
            <w:r>
              <w:rPr/>
              <w:t>●</w:t>
            </w:r>
          </w:p>
        </w:tc>
        <w:tc>
          <w:tcPr>
            <w:tcW w:w="9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any other methods described in a prospectus supplement.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5"/>
        <w:gridCol w:w="170"/>
        <w:gridCol w:w="9600"/>
      </w:tblGrid>
      <w:tr>
        <w:trPr/>
        <w:tc>
          <w:tcPr>
            <w:tcW w:w="435" w:type="dxa"/>
            <w:tcBorders/>
            <w:vAlign w:val="center"/>
          </w:tcPr>
          <w:p>
            <w:pPr>
              <w:pStyle w:val="TableContents"/>
              <w:bidi w:val="0"/>
              <w:spacing w:before="0" w:after="283"/>
              <w:ind w:left="0" w:right="0" w:firstLine="360"/>
              <w:jc w:val="both"/>
              <w:rPr/>
            </w:pPr>
            <w:r>
              <w:rPr/>
              <w:t> </w:t>
            </w:r>
          </w:p>
        </w:tc>
        <w:tc>
          <w:tcPr>
            <w:tcW w:w="170" w:type="dxa"/>
            <w:tcBorders/>
            <w:vAlign w:val="center"/>
          </w:tcPr>
          <w:p>
            <w:pPr>
              <w:pStyle w:val="TableContents"/>
              <w:bidi w:val="0"/>
              <w:spacing w:before="0" w:after="283"/>
              <w:jc w:val="both"/>
              <w:rPr/>
            </w:pPr>
            <w:r>
              <w:rPr/>
              <w:t>●</w:t>
            </w:r>
          </w:p>
        </w:tc>
        <w:tc>
          <w:tcPr>
            <w:tcW w:w="9600" w:type="dxa"/>
            <w:tcBorders/>
            <w:vAlign w:val="center"/>
          </w:tcPr>
          <w:p>
            <w:pPr>
              <w:pStyle w:val="TableContents"/>
              <w:bidi w:val="0"/>
              <w:spacing w:before="0" w:after="283"/>
              <w:ind w:left="0" w:right="0" w:firstLine="360"/>
              <w:jc w:val="left"/>
              <w:rPr/>
            </w:pPr>
            <w:r>
              <w:rPr/>
              <w:t>block transactions (which may involve crosses) and transactions on Nasdaq or any other organized market where the securities may be traded;</w:t>
            </w:r>
          </w:p>
        </w:tc>
      </w:tr>
      <w:tr>
        <w:trPr/>
        <w:tc>
          <w:tcPr>
            <w:tcW w:w="435" w:type="dxa"/>
            <w:tcBorders/>
            <w:vAlign w:val="center"/>
          </w:tcPr>
          <w:p>
            <w:pPr>
              <w:pStyle w:val="TableContents"/>
              <w:bidi w:val="0"/>
              <w:spacing w:before="0" w:after="283"/>
              <w:ind w:left="0" w:right="0" w:firstLine="360"/>
              <w:jc w:val="both"/>
              <w:rPr/>
            </w:pPr>
            <w:r>
              <w:rPr/>
              <w:t> </w:t>
            </w:r>
          </w:p>
        </w:tc>
        <w:tc>
          <w:tcPr>
            <w:tcW w:w="170" w:type="dxa"/>
            <w:tcBorders/>
            <w:vAlign w:val="center"/>
          </w:tcPr>
          <w:p>
            <w:pPr>
              <w:pStyle w:val="TableContents"/>
              <w:bidi w:val="0"/>
              <w:spacing w:before="0" w:after="283"/>
              <w:jc w:val="both"/>
              <w:rPr/>
            </w:pPr>
            <w:r>
              <w:rPr/>
              <w:t> </w:t>
            </w:r>
          </w:p>
        </w:tc>
        <w:tc>
          <w:tcPr>
            <w:tcW w:w="9600" w:type="dxa"/>
            <w:tcBorders/>
            <w:vAlign w:val="center"/>
          </w:tcPr>
          <w:p>
            <w:pPr>
              <w:pStyle w:val="TableContents"/>
              <w:bidi w:val="0"/>
              <w:spacing w:before="0" w:after="283"/>
              <w:ind w:left="0" w:right="0" w:firstLine="360"/>
              <w:jc w:val="both"/>
              <w:rPr/>
            </w:pPr>
            <w:r>
              <w:rPr/>
              <w:t> </w:t>
            </w:r>
          </w:p>
        </w:tc>
      </w:tr>
      <w:tr>
        <w:trPr/>
        <w:tc>
          <w:tcPr>
            <w:tcW w:w="43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600" w:type="dxa"/>
            <w:tcBorders/>
            <w:vAlign w:val="center"/>
          </w:tcPr>
          <w:p>
            <w:pPr>
              <w:pStyle w:val="TableContents"/>
              <w:bidi w:val="0"/>
              <w:spacing w:before="0" w:after="283"/>
              <w:ind w:left="0" w:right="0" w:firstLine="360"/>
              <w:jc w:val="left"/>
              <w:rPr/>
            </w:pPr>
            <w:r>
              <w:rPr/>
              <w:t>purchases by a broker-dealer as principal and resale by the broker-dealer for its own account pursuant to a prospectus supplement;</w:t>
            </w:r>
          </w:p>
        </w:tc>
      </w:tr>
      <w:tr>
        <w:trPr/>
        <w:tc>
          <w:tcPr>
            <w:tcW w:w="435" w:type="dxa"/>
            <w:tcBorders/>
            <w:vAlign w:val="center"/>
          </w:tcPr>
          <w:p>
            <w:pPr>
              <w:pStyle w:val="TableContents"/>
              <w:bidi w:val="0"/>
              <w:spacing w:before="0" w:after="283"/>
              <w:ind w:left="0" w:right="0" w:firstLine="360"/>
              <w:jc w:val="both"/>
              <w:rPr/>
            </w:pPr>
            <w:r>
              <w:rPr/>
              <w:t> </w:t>
            </w:r>
          </w:p>
        </w:tc>
        <w:tc>
          <w:tcPr>
            <w:tcW w:w="170" w:type="dxa"/>
            <w:tcBorders/>
            <w:vAlign w:val="center"/>
          </w:tcPr>
          <w:p>
            <w:pPr>
              <w:pStyle w:val="TableContents"/>
              <w:bidi w:val="0"/>
              <w:spacing w:before="0" w:after="283"/>
              <w:jc w:val="both"/>
              <w:rPr/>
            </w:pPr>
            <w:r>
              <w:rPr/>
              <w:t> </w:t>
            </w:r>
          </w:p>
        </w:tc>
        <w:tc>
          <w:tcPr>
            <w:tcW w:w="9600" w:type="dxa"/>
            <w:tcBorders/>
            <w:vAlign w:val="center"/>
          </w:tcPr>
          <w:p>
            <w:pPr>
              <w:pStyle w:val="TableContents"/>
              <w:bidi w:val="0"/>
              <w:spacing w:before="0" w:after="283"/>
              <w:ind w:left="0" w:right="0" w:firstLine="360"/>
              <w:jc w:val="both"/>
              <w:rPr/>
            </w:pPr>
            <w:r>
              <w:rPr/>
              <w:t> </w:t>
            </w:r>
          </w:p>
        </w:tc>
      </w:tr>
      <w:tr>
        <w:trPr/>
        <w:tc>
          <w:tcPr>
            <w:tcW w:w="43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600" w:type="dxa"/>
            <w:tcBorders/>
            <w:vAlign w:val="center"/>
          </w:tcPr>
          <w:p>
            <w:pPr>
              <w:pStyle w:val="TableContents"/>
              <w:bidi w:val="0"/>
              <w:spacing w:before="0" w:after="283"/>
              <w:ind w:left="0" w:right="0" w:firstLine="360"/>
              <w:jc w:val="both"/>
              <w:rPr>
                <w:rFonts w:ascii="Times New Roman;Times;Serif" w:hAnsi="Times New Roman;Times;Serif"/>
                <w:sz w:val="20"/>
              </w:rPr>
            </w:pPr>
            <w:r>
              <w:rPr>
                <w:rFonts w:ascii="Times New Roman;Times;Serif" w:hAnsi="Times New Roman;Times;Serif"/>
                <w:sz w:val="20"/>
              </w:rPr>
              <w:t>ordinary brokerage transactions and transactions in which a broker-dealer solicits purchasers;</w:t>
            </w:r>
          </w:p>
        </w:tc>
      </w:tr>
      <w:tr>
        <w:trPr/>
        <w:tc>
          <w:tcPr>
            <w:tcW w:w="435" w:type="dxa"/>
            <w:tcBorders/>
            <w:vAlign w:val="center"/>
          </w:tcPr>
          <w:p>
            <w:pPr>
              <w:pStyle w:val="TableContents"/>
              <w:bidi w:val="0"/>
              <w:spacing w:before="0" w:after="283"/>
              <w:ind w:left="0" w:right="0" w:firstLine="360"/>
              <w:jc w:val="both"/>
              <w:rPr/>
            </w:pPr>
            <w:r>
              <w:rPr/>
              <w:t> </w:t>
            </w:r>
          </w:p>
        </w:tc>
        <w:tc>
          <w:tcPr>
            <w:tcW w:w="170" w:type="dxa"/>
            <w:tcBorders/>
            <w:vAlign w:val="center"/>
          </w:tcPr>
          <w:p>
            <w:pPr>
              <w:pStyle w:val="TableContents"/>
              <w:bidi w:val="0"/>
              <w:spacing w:before="0" w:after="283"/>
              <w:jc w:val="both"/>
              <w:rPr/>
            </w:pPr>
            <w:r>
              <w:rPr/>
              <w:t> </w:t>
            </w:r>
          </w:p>
        </w:tc>
        <w:tc>
          <w:tcPr>
            <w:tcW w:w="9600" w:type="dxa"/>
            <w:tcBorders/>
            <w:vAlign w:val="center"/>
          </w:tcPr>
          <w:p>
            <w:pPr>
              <w:pStyle w:val="TableContents"/>
              <w:bidi w:val="0"/>
              <w:spacing w:before="0" w:after="283"/>
              <w:ind w:left="0" w:right="0" w:firstLine="360"/>
              <w:jc w:val="both"/>
              <w:rPr/>
            </w:pPr>
            <w:r>
              <w:rPr/>
              <w:t> </w:t>
            </w:r>
          </w:p>
        </w:tc>
      </w:tr>
      <w:tr>
        <w:trPr/>
        <w:tc>
          <w:tcPr>
            <w:tcW w:w="43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600" w:type="dxa"/>
            <w:tcBorders/>
            <w:vAlign w:val="center"/>
          </w:tcPr>
          <w:p>
            <w:pPr>
              <w:pStyle w:val="TableContents"/>
              <w:bidi w:val="0"/>
              <w:spacing w:before="0" w:after="283"/>
              <w:ind w:left="0" w:right="0" w:firstLine="360"/>
              <w:jc w:val="both"/>
              <w:rPr>
                <w:rFonts w:ascii="Times New Roman;Times;Serif" w:hAnsi="Times New Roman;Times;Serif"/>
                <w:sz w:val="20"/>
              </w:rPr>
            </w:pPr>
            <w:r>
              <w:rPr>
                <w:rFonts w:ascii="Times New Roman;Times;Serif" w:hAnsi="Times New Roman;Times;Serif"/>
                <w:sz w:val="20"/>
              </w:rPr>
              <w:t>sales “at the market” to or through a market maker or into an existing trading market, on an exchange or otherwise; and</w:t>
            </w:r>
          </w:p>
        </w:tc>
      </w:tr>
      <w:tr>
        <w:trPr/>
        <w:tc>
          <w:tcPr>
            <w:tcW w:w="435" w:type="dxa"/>
            <w:tcBorders/>
            <w:vAlign w:val="center"/>
          </w:tcPr>
          <w:p>
            <w:pPr>
              <w:pStyle w:val="TableContents"/>
              <w:bidi w:val="0"/>
              <w:spacing w:before="0" w:after="283"/>
              <w:ind w:left="0" w:right="0" w:firstLine="360"/>
              <w:jc w:val="both"/>
              <w:rPr/>
            </w:pPr>
            <w:r>
              <w:rPr/>
              <w:t> </w:t>
            </w:r>
          </w:p>
        </w:tc>
        <w:tc>
          <w:tcPr>
            <w:tcW w:w="170" w:type="dxa"/>
            <w:tcBorders/>
            <w:vAlign w:val="center"/>
          </w:tcPr>
          <w:p>
            <w:pPr>
              <w:pStyle w:val="TableContents"/>
              <w:bidi w:val="0"/>
              <w:spacing w:before="0" w:after="283"/>
              <w:jc w:val="both"/>
              <w:rPr/>
            </w:pPr>
            <w:r>
              <w:rPr/>
              <w:t> </w:t>
            </w:r>
          </w:p>
        </w:tc>
        <w:tc>
          <w:tcPr>
            <w:tcW w:w="9600" w:type="dxa"/>
            <w:tcBorders/>
            <w:vAlign w:val="center"/>
          </w:tcPr>
          <w:p>
            <w:pPr>
              <w:pStyle w:val="TableContents"/>
              <w:bidi w:val="0"/>
              <w:spacing w:before="0" w:after="283"/>
              <w:ind w:left="0" w:right="0" w:firstLine="360"/>
              <w:jc w:val="both"/>
              <w:rPr/>
            </w:pPr>
            <w:r>
              <w:rPr/>
              <w:t> </w:t>
            </w:r>
          </w:p>
        </w:tc>
      </w:tr>
      <w:tr>
        <w:trPr/>
        <w:tc>
          <w:tcPr>
            <w:tcW w:w="43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in other ways not involving market makers or established trading markets, including direct sales to purchasers.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extinguishment of debt,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any such person. Furthermore, Regulation M may restrict the ability of any person engaged in the distribution of our securities to engage in market-making activities with respect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may affect the marketability of our securities and the ability of any person or entity to engage in market-making activities with respect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4"/>
      <w:bookmarkEnd w:id="17"/>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Information—E. Taxation” in the 2025 Annual Report,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POTENTIAL PURCHASERS OF OUR CLASS A ORDINARY SHARES TO CONSULT THEIR OWN TAX ADVISORS CONCERNING THE U.S. FEDERAL, STATE, LOCAL, AND NON-U.S. TAX CONSEQUENCES OF PURCHASING, OWNING AND DISPOSING OF OUR CLASS A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5"/>
      <w:bookmarkEnd w:id="18"/>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costs and expenses, other than underwriting discounts and commissions, payable by us in connection with the offering of the securities being registered. All the amounts shown are estimates, except for the SEC registration fee.</w:t>
      </w:r>
    </w:p>
    <w:p>
      <w:pPr>
        <w:pStyle w:val="TextBody"/>
        <w:bidi w:val="0"/>
        <w:spacing w:before="0" w:after="0"/>
        <w:ind w:left="0" w:right="0" w:firstLine="720"/>
        <w:jc w:val="both"/>
        <w:rPr>
          <w:caps w:val="false"/>
          <w:smallCaps w:val="false"/>
        </w:rPr>
      </w:pPr>
      <w:r>
        <w:rPr>
          <w:caps w:val="false"/>
          <w:smallCaps w:val="false"/>
        </w:rPr>
        <w:t> </w:t>
      </w:r>
    </w:p>
    <w:tbl>
      <w:tblPr>
        <w:tblW w:w="5510" w:type="dxa"/>
        <w:jc w:val="left"/>
        <w:tblInd w:w="0" w:type="dxa"/>
        <w:tblLayout w:type="fixed"/>
        <w:tblCellMar>
          <w:top w:w="0" w:type="dxa"/>
          <w:left w:w="0" w:type="dxa"/>
          <w:bottom w:w="0" w:type="dxa"/>
          <w:right w:w="0" w:type="dxa"/>
        </w:tblCellMar>
      </w:tblPr>
      <w:tblGrid>
        <w:gridCol w:w="4175"/>
        <w:gridCol w:w="60"/>
        <w:gridCol w:w="140"/>
        <w:gridCol w:w="980"/>
        <w:gridCol w:w="155"/>
      </w:tblGrid>
      <w:tr>
        <w:trPr/>
        <w:tc>
          <w:tcPr>
            <w:tcW w:w="417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27,620.00</w:t>
            </w:r>
          </w:p>
        </w:tc>
        <w:tc>
          <w:tcPr>
            <w:tcW w:w="155" w:type="dxa"/>
            <w:tcBorders/>
            <w:shd w:fill="CCEEFF" w:val="clear"/>
          </w:tcPr>
          <w:p>
            <w:pPr>
              <w:pStyle w:val="TableContents"/>
              <w:bidi w:val="0"/>
              <w:spacing w:before="0" w:after="283"/>
              <w:jc w:val="left"/>
              <w:rPr>
                <w:sz w:val="4"/>
                <w:szCs w:val="4"/>
              </w:rPr>
            </w:pPr>
            <w:r>
              <w:rPr>
                <w:sz w:val="4"/>
                <w:szCs w:val="4"/>
              </w:rPr>
            </w:r>
          </w:p>
        </w:tc>
      </w:tr>
      <w:tr>
        <w:trPr/>
        <w:tc>
          <w:tcPr>
            <w:tcW w:w="4175"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w:t>
            </w:r>
          </w:p>
        </w:tc>
      </w:tr>
      <w:tr>
        <w:trPr/>
        <w:tc>
          <w:tcPr>
            <w:tcW w:w="4175" w:type="dxa"/>
            <w:tcBorders/>
            <w:shd w:fill="CCEEFF" w:val="clear"/>
            <w:vAlign w:val="center"/>
          </w:tcPr>
          <w:p>
            <w:pPr>
              <w:pStyle w:val="TableContents"/>
              <w:bidi w:val="0"/>
              <w:spacing w:before="0" w:after="283"/>
              <w:jc w:val="left"/>
              <w:rPr/>
            </w:pPr>
            <w:r>
              <w:rPr/>
              <w:t>Financial Industry Regulatory Authority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w:t>
            </w:r>
          </w:p>
        </w:tc>
      </w:tr>
      <w:tr>
        <w:trPr/>
        <w:tc>
          <w:tcPr>
            <w:tcW w:w="4175"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w:t>
            </w:r>
          </w:p>
        </w:tc>
      </w:tr>
      <w:tr>
        <w:trPr/>
        <w:tc>
          <w:tcPr>
            <w:tcW w:w="4175" w:type="dxa"/>
            <w:tcBorders/>
            <w:shd w:fill="CCEEFF" w:val="clear"/>
            <w:vAlign w:val="center"/>
          </w:tcPr>
          <w:p>
            <w:pPr>
              <w:pStyle w:val="TableContents"/>
              <w:bidi w:val="0"/>
              <w:spacing w:before="0" w:after="283"/>
              <w:jc w:val="left"/>
              <w:rPr/>
            </w:pPr>
            <w:r>
              <w:rPr/>
              <w:t>Printing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w:t>
            </w:r>
          </w:p>
        </w:tc>
      </w:tr>
      <w:tr>
        <w:trPr/>
        <w:tc>
          <w:tcPr>
            <w:tcW w:w="4175" w:type="dxa"/>
            <w:tcBorders/>
            <w:shd w:fill="FFFFFF" w:val="clear"/>
            <w:vAlign w:val="center"/>
          </w:tcPr>
          <w:p>
            <w:pPr>
              <w:pStyle w:val="TableContents"/>
              <w:bidi w:val="0"/>
              <w:spacing w:before="0" w:after="283"/>
              <w:jc w:val="left"/>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provided by a prospectus supplement or as an exhibit to a report of foreign private issuer on Form 6-K that is incorporated by reference into this registration statement. Estimated solely for this item. Actual expenses may vary.</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9" w:name="a_016"/>
      <w:bookmarkEnd w:id="19"/>
      <w:r>
        <w:rPr>
          <w:rFonts w:ascii="Times New Roman;Times;Serif" w:hAnsi="Times New Roman;Times;Serif"/>
          <w:b/>
          <w:i w:val="false"/>
          <w:caps w:val="false"/>
          <w:smallCaps w:val="false"/>
          <w:sz w:val="20"/>
        </w:rPr>
        <w:t>MATERIAL CONTRACTS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“Incorporation of Documents by Reference”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0" w:name="a_017"/>
      <w:bookmarkEnd w:id="20"/>
      <w:r>
        <w:rPr>
          <w:rFonts w:ascii="Times New Roman;Times;Serif" w:hAnsi="Times New Roman;Times;Serif"/>
          <w:b/>
          <w:i w:val="false"/>
          <w:caps w:val="false"/>
          <w:smallCaps w:val="false"/>
          <w:sz w:val="20"/>
        </w:rPr>
        <w:t>MATERIAL CHANGES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our annual report on Form 20-F for the fiscal year ended June 30, 2025, in our reports of foreign private issuer on Form 6-K filed or submitted under the Exchange Act and incorporated by reference herein, and as disclosed in this prospectus or the applicable prospectus supplement, no reportable material changes have occurred since June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8"/>
      <w:bookmarkEnd w:id="2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Jun He Law Offices LLC with respect to certain legal matters as to United States federal securities and New York State law. The legality and validity of the securities offered from time to time under this prospectus under the laws of the Cayman Islands will be passed upon for us by Ogier, our counsel as to Cayman Islands law. Legal matters as to Hong Kong laws and regulations will be passed upon for us by Lawrence Chan &amp; Co. Jun He Law Offices LLC may rely upon Ogier with respect to matters governed by Cayman Islands law and may rely upon Lawrence Chan &amp; Co. with respect to matters governed by Hong Kong law.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19"/>
      <w:bookmarkEnd w:id="2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as of June 30, 2025 and 2024, and for each of the three years in the period ended June 30, 2025, 2024 and 2023 incorporated by reference in this prospectus have been audited by UHY LLP, an independent registered public accounting firm, as stated in their report appearing herein. Such financial statements have been so incorporated by reference in reliance upon the report of such firm given upon the authority of such firm as experts in accounting and auditing. The office of UHY LLP is located at 1185 Avenue of the Americas, 38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20"/>
      <w:bookmarkEnd w:id="23"/>
      <w:r>
        <w:rPr>
          <w:rFonts w:ascii="Times New Roman;Times;Serif" w:hAnsi="Times New Roman;Times;Serif"/>
          <w:b/>
          <w:i w:val="false"/>
          <w:caps w:val="false"/>
          <w:smallCaps w:val="false"/>
          <w:sz w:val="20"/>
        </w:rPr>
        <w:t xml:space="preserve">ENFORCEABILITY OF CIVIL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is incorporated under the laws of the Cayman Islands as an exempted company limited by shares. Intercont is incorporated in the Cayman Islands to take advantage of certain benefits associated with being a Cayman Islands exempted company, such as:</w:t>
      </w:r>
    </w:p>
    <w:p>
      <w:pPr>
        <w:pStyle w:val="TextBody"/>
        <w:bidi w:val="0"/>
        <w:spacing w:before="0" w:after="0"/>
        <w:ind w:left="960" w:right="0" w:hanging="48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pPr>
            <w:r>
              <w:rPr/>
              <w:t>political and economic stability;</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pPr>
            <w:r>
              <w:rPr/>
              <w:t>an effective judicial system;</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pPr>
            <w:r>
              <w:rPr/>
              <w:t>a favorable tax system;</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the absence of exchange control or currency restrictions;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pPr>
            <w:r>
              <w:rPr/>
              <w:t>the availability of professional and support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Cayman Islands has a less developed body of securities laws as compared to the United States and these securities laws provide significantly less protection to investors as compared to the United States;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Intercont’s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mainly conducted in Asia, and our assets are mainly located in Asia. A majority of Intercont’s directors and executive officers are nationals or residents of jurisdictions other than the United States, such as, Ms. Muchun Zhu, Intercont’s CEO and Chairman of the Board of Directors, currently residing in PRC, and some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has appointed Cogency Global, Inc. as its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Ogier, our counsel as to Cayman Islands law, that the courts of the Cayman Islands are unlikely to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 so far as the liabilities imposed by those provisions are penal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been advised by Ogier that in those circumstances, although there is no statutory recognition in the Cayman Islands of judgments obtained in the federal or state courts of the United States, a foreign money judgment of a foreign court of competent jurisdiction will be recognized and enforced in the courts of the Cayman Islands at common law, without any re-examination of the merits of the underlying dispute by an action commenced on the foreign judgment in the Grand Court of the Cayman Islands, provided that such judgment (i) is given by a foreign court of competent jurisdiction, (ii) is final and conclusive, (iii) is either for a liquidated sum not in respect of taxes, a fine or a penalty or similar fiscal or revenue obligations or, in certain circumstances, for in personam non-money relief, and (iv) is not inconsistent with a Cayman Islands judgment in respect of the same matter, impeachable on the grounds of fraud and was not obtained in a manner and is not of a kind the enforcement of which is contrary to natural justice or the public policy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Lawrence Chan &amp; Co., our counsel with respect to Hong Kong law, has advised us that judgment of United States courts will not be directly enforced in Hong Kong. There are currently no treaties or other arrangements providing for reciprocal enforcement of foreign judgments between Hong Kong and the U.S. However, an action can be brought upon a foreign judgment in Hong Kong courts. That is to say, a foreign judgment itself may form the basis of a cause of action since the judgment may be regarded as creating a debt between the parties to it. In an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an action in Hong Kong brought on the basis of a foreign judgment include lack of jurisdiction, breach of natural justice, fraud, and contrary to public policy. However, a separate legal action for debt must be commenced in Hong Kong in order to recover such debt from the judgment debtor.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the PRC would (1) recognize or enforce judgments of United States courts or Cayman courts obtained against Intercont or its directors or officers predicated upon the civil liability provisions of the United States federal and state securities laws; or (2) entertain original actions brought in each respective jurisdiction against Intercont or its directors or officers predicated upon the United States federal and state securities laws. The recognition and enforcement of foreign judgments are provided for under PRC Civil Procedures Law. PRC courts may recognize and enforce foreign judgments in accordance with the requirements of PRC Civil Procedures Law based either on treaties or similar arrangements between China and the jurisdiction where the judgment is made or on principles of reciprocity between jurisdictions. China does not have any treaties and only limited reciprocity arrangements with the United States or the Cayman Islands that provide for the reciprocal recognition and enforcement of foreign judgments as of the date of this prospectus. In addition, according to the PRC Civil Procedures Law, courts in the PRC will not enforce a foreign judgment against Intercont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other relevant laws,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Intercont’s Class A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21"/>
      <w:bookmarkEnd w:id="24"/>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 Statements in this prospectus regarding the provisions of certain documents filed with, or incorporated by reference in, the registration statement are not necessarily complete and each statement is qualified in all respects by that reference. The documents we are incorporating by reference are:</w:t>
      </w:r>
    </w:p>
    <w:p>
      <w:pPr>
        <w:pStyle w:val="TextBody"/>
        <w:bidi w:val="0"/>
        <w:spacing w:before="0" w:after="0"/>
        <w:ind w:left="0" w:right="0" w:firstLine="36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25"/>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605" w:type="dxa"/>
            <w:tcBorders/>
            <w:vAlign w:val="center"/>
          </w:tcPr>
          <w:p>
            <w:pPr>
              <w:pStyle w:val="TableContents"/>
              <w:bidi w:val="0"/>
              <w:spacing w:before="0" w:after="283"/>
              <w:jc w:val="both"/>
              <w:rPr/>
            </w:pPr>
            <w:r>
              <w:rPr>
                <w:rFonts w:ascii="Times New Roman;Times;Serif" w:hAnsi="Times New Roman;Times;Serif"/>
              </w:rPr>
              <w:t xml:space="preserve">Our Annual Report on </w:t>
            </w:r>
            <w:hyperlink r:id="rId4">
              <w:r>
                <w:rPr>
                  <w:rStyle w:val="InternetLink"/>
                  <w:rFonts w:ascii="Times New Roman;Times;Serif" w:hAnsi="Times New Roman;Times;Serif"/>
                </w:rPr>
                <w:t>Form 20-F</w:t>
              </w:r>
            </w:hyperlink>
            <w:r>
              <w:rPr>
                <w:rFonts w:ascii="Times New Roman;Times;Serif" w:hAnsi="Times New Roman;Times;Serif"/>
              </w:rPr>
              <w:t xml:space="preserve"> for the fiscal year ended June 30, 2025, filed on October 30, 2025.</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rFonts w:ascii="Times New Roman;Times;Serif" w:hAnsi="Times New Roman;Times;Serif"/>
              </w:rPr>
              <w:t xml:space="preserve">Our current reports on Form 6-K filed with the SEC on </w:t>
            </w:r>
            <w:hyperlink r:id="rId5">
              <w:r>
                <w:rPr>
                  <w:rStyle w:val="InternetLink"/>
                  <w:rFonts w:ascii="Times New Roman;Times;Serif" w:hAnsi="Times New Roman;Times;Serif"/>
                </w:rPr>
                <w:t>December 2, 2025</w:t>
              </w:r>
            </w:hyperlink>
            <w:r>
              <w:rPr>
                <w:rFonts w:ascii="Times New Roman;Times;Serif" w:hAnsi="Times New Roman;Times;Serif"/>
              </w:rPr>
              <w:t xml:space="preserve">, </w:t>
            </w:r>
            <w:hyperlink r:id="rId6">
              <w:r>
                <w:rPr>
                  <w:rStyle w:val="InternetLink"/>
                  <w:rFonts w:ascii="Times New Roman;Times;Serif" w:hAnsi="Times New Roman;Times;Serif"/>
                </w:rPr>
                <w:t>December 8, 2025</w:t>
              </w:r>
            </w:hyperlink>
            <w:r>
              <w:rPr>
                <w:rFonts w:ascii="Times New Roman;Times;Serif" w:hAnsi="Times New Roman;Times;Serif"/>
              </w:rPr>
              <w:t xml:space="preserve">, </w:t>
            </w:r>
            <w:hyperlink r:id="rId7">
              <w:r>
                <w:rPr>
                  <w:rStyle w:val="InternetLink"/>
                  <w:rFonts w:ascii="Times New Roman;Times;Serif" w:hAnsi="Times New Roman;Times;Serif"/>
                </w:rPr>
                <w:t>December 22, 2025</w:t>
              </w:r>
            </w:hyperlink>
            <w:r>
              <w:rPr>
                <w:rFonts w:ascii="Times New Roman;Times;Serif" w:hAnsi="Times New Roman;Times;Serif"/>
              </w:rPr>
              <w:t xml:space="preserve">, </w:t>
            </w:r>
            <w:hyperlink r:id="rId8">
              <w:r>
                <w:rPr>
                  <w:rStyle w:val="InternetLink"/>
                  <w:rFonts w:ascii="Times New Roman;Times;Serif" w:hAnsi="Times New Roman;Times;Serif"/>
                </w:rPr>
                <w:t>December 23, 2025</w:t>
              </w:r>
            </w:hyperlink>
            <w:r>
              <w:rPr>
                <w:rFonts w:ascii="Times New Roman;Times;Serif" w:hAnsi="Times New Roman;Times;Serif"/>
              </w:rPr>
              <w:t xml:space="preserve">, </w:t>
            </w:r>
            <w:hyperlink r:id="rId9">
              <w:r>
                <w:rPr>
                  <w:rStyle w:val="InternetLink"/>
                  <w:rFonts w:ascii="Times New Roman;Times;Serif" w:hAnsi="Times New Roman;Times;Serif"/>
                </w:rPr>
                <w:t>December 29, 2025</w:t>
              </w:r>
            </w:hyperlink>
            <w:r>
              <w:rPr>
                <w:rFonts w:ascii="Times New Roman;Times;Serif" w:hAnsi="Times New Roman;Times;Serif"/>
              </w:rPr>
              <w:t xml:space="preserve">, </w:t>
            </w:r>
            <w:hyperlink r:id="rId10">
              <w:r>
                <w:rPr>
                  <w:rStyle w:val="InternetLink"/>
                  <w:rFonts w:ascii="Times New Roman;Times;Serif" w:hAnsi="Times New Roman;Times;Serif"/>
                </w:rPr>
                <w:t>January 26, 2026</w:t>
              </w:r>
            </w:hyperlink>
            <w:r>
              <w:rPr>
                <w:rFonts w:ascii="Times New Roman;Times;Serif" w:hAnsi="Times New Roman;Times;Serif"/>
              </w:rPr>
              <w:t xml:space="preserve">, </w:t>
            </w:r>
            <w:hyperlink r:id="rId11">
              <w:r>
                <w:rPr>
                  <w:rStyle w:val="InternetLink"/>
                  <w:rFonts w:ascii="Times New Roman;Times;Serif" w:hAnsi="Times New Roman;Times;Serif"/>
                </w:rPr>
                <w:t>February 12, 2026</w:t>
              </w:r>
            </w:hyperlink>
            <w:r>
              <w:rPr>
                <w:rFonts w:ascii="Times New Roman;Times;Serif" w:hAnsi="Times New Roman;Times;Serif"/>
              </w:rPr>
              <w:t xml:space="preserve">, </w:t>
            </w:r>
            <w:hyperlink r:id="rId12">
              <w:r>
                <w:rPr>
                  <w:rStyle w:val="InternetLink"/>
                  <w:rFonts w:ascii="Times New Roman;Times;Serif" w:hAnsi="Times New Roman;Times;Serif"/>
                </w:rPr>
                <w:t>March 30, 2026</w:t>
              </w:r>
            </w:hyperlink>
            <w:r>
              <w:rPr>
                <w:rFonts w:ascii="Times New Roman;Times;Serif" w:hAnsi="Times New Roman;Times;Serif"/>
              </w:rPr>
              <w:t xml:space="preserve">, </w:t>
            </w:r>
            <w:hyperlink r:id="rId13">
              <w:r>
                <w:rPr>
                  <w:rStyle w:val="InternetLink"/>
                  <w:rFonts w:ascii="Times New Roman;Times;Serif" w:hAnsi="Times New Roman;Times;Serif"/>
                </w:rPr>
                <w:t>April 6, 2026</w:t>
              </w:r>
            </w:hyperlink>
            <w:r>
              <w:rPr>
                <w:rFonts w:ascii="Times New Roman;Times;Serif" w:hAnsi="Times New Roman;Times;Serif"/>
              </w:rPr>
              <w:t xml:space="preserve">, </w:t>
            </w:r>
            <w:hyperlink r:id="rId14">
              <w:r>
                <w:rPr>
                  <w:rStyle w:val="InternetLink"/>
                  <w:rFonts w:ascii="Times New Roman;Times;Serif" w:hAnsi="Times New Roman;Times;Serif"/>
                </w:rPr>
                <w:t>May 12, 2026</w:t>
              </w:r>
            </w:hyperlink>
            <w:r>
              <w:rPr>
                <w:rFonts w:ascii="Times New Roman;Times;Serif" w:hAnsi="Times New Roman;Times;Serif"/>
              </w:rPr>
              <w:t xml:space="preserve">, </w:t>
            </w:r>
            <w:hyperlink r:id="rId15">
              <w:r>
                <w:rPr>
                  <w:rStyle w:val="InternetLink"/>
                  <w:rFonts w:ascii="Times New Roman;Times;Serif" w:hAnsi="Times New Roman;Times;Serif"/>
                </w:rPr>
                <w:t>June 8, 2026</w:t>
              </w:r>
            </w:hyperlink>
            <w:r>
              <w:rPr>
                <w:rFonts w:ascii="Times New Roman;Times;Serif" w:hAnsi="Times New Roman;Times;Serif"/>
              </w:rPr>
              <w:t xml:space="preserve">, </w:t>
            </w:r>
            <w:hyperlink r:id="rId16">
              <w:r>
                <w:rPr>
                  <w:rStyle w:val="InternetLink"/>
                  <w:rFonts w:ascii="Times New Roman;Times;Serif" w:hAnsi="Times New Roman;Times;Serif"/>
                </w:rPr>
                <w:t>July 9, 2026</w:t>
              </w:r>
            </w:hyperlink>
            <w:r>
              <w:rPr>
                <w:rFonts w:ascii="Times New Roman;Times;Serif" w:hAnsi="Times New Roman;Times;Serif"/>
              </w:rPr>
              <w:t xml:space="preserve">, and </w:t>
            </w:r>
            <w:hyperlink r:id="rId17">
              <w:r>
                <w:rPr>
                  <w:rStyle w:val="InternetLink"/>
                  <w:rFonts w:ascii="Times New Roman;Times;Serif" w:hAnsi="Times New Roman;Times;Serif"/>
                </w:rPr>
                <w:t>August 7, 2026</w:t>
              </w:r>
            </w:hyperlink>
            <w:r>
              <w:rPr/>
              <w: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rFonts w:ascii="Times New Roman;Times;Serif" w:hAnsi="Times New Roman;Times;Serif"/>
              </w:rPr>
              <w:t xml:space="preserve">the description of our Ordinary Shares contained in our registration statement on </w:t>
            </w:r>
            <w:hyperlink r:id="rId18">
              <w:r>
                <w:rPr>
                  <w:rStyle w:val="InternetLink"/>
                  <w:rFonts w:ascii="Times New Roman;Times;Serif" w:hAnsi="Times New Roman;Times;Serif"/>
                </w:rPr>
                <w:t>Form 8-A</w:t>
              </w:r>
            </w:hyperlink>
            <w:r>
              <w:rPr>
                <w:rFonts w:ascii="Times New Roman;Times;Serif" w:hAnsi="Times New Roman;Times;Serif"/>
              </w:rPr>
              <w:t>, filed with the SEC on March 27, 2025, and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we file under Sections 13(a), 13(c) and 15(d) of the Exchange Act subsequent to the date hereof and before the termination of this offering, are incorporated by reference including annual reports on Form 20-F and current reports on Form 6-K that we submit to the SEC prior to the termination of this offering that indicate they are being incorporated by reference into this prospectus. 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obtain a copy of any documents that are incorporated by reference in this prospectus or any prospectus supplement at no cost, by writing or telephoning us 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88182399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OCEAN DRIVE, SINGAPORE</w:t>
        <w:br/>
        <w:t>Singapore, 098187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in any accompanying prospectus supplement or in any free writing prospectus filed by us with the SEC. We have not authorized anyone to provide you with different or additional information. You should not assume that the information in this prospectus or in any document incorporated by reference is accurate as of any date other than the date on the front cover of the applicable document.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22"/>
      <w:bookmarkEnd w:id="25"/>
      <w:r>
        <w:rPr>
          <w:rFonts w:ascii="Times New Roman;Times;Serif" w:hAnsi="Times New Roman;Times;Serif"/>
          <w:b/>
          <w:i w:val="false"/>
          <w:caps w:val="false"/>
          <w:smallCaps w:val="false"/>
          <w:sz w:val="20"/>
        </w:rPr>
        <w:t xml:space="preserve">WHERE YOU CAN FIND ADDITIONAL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F-3, including relevant exhibits and schedules under the Securities Act, covering the Class A Ordinary Shares offered by this prospectus. You should refer to our registration statements and their exhibits and schedules if you would like to find out more about us and about the Class A Ordinary Shares. This prospectus summarizes material provisions of contracts and other documents that we refer you to. Since the prospectus may not contain all the information that you may find important, you should review the full text of these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statements, reports and other information so filed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that contains reports, proxy statements and other information about issuers, such as us, who file electronically with the SEC. The address of that website is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The information on that website is not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dealers,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amended and restated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for indemnification of officers and directors for losses, damages, costs and expenses incurred in their capacities as such unless such losses or damages arise from their own willful neglect or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as a matter of United States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entered into in connection with an offering of securities will also provide for indemnification of us and our officers and directors in certain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Underwriting Agreement.</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Third Memorandum and Articles of Association of the Registrant, as currently in effect (incorporated by reference to Exhibit 3.1 submitted with Form 6-K on June 8, 2026)</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Form of Registrant’s Specimen Class A Ordinary Shares (incorporate by reference to Exhibit 4.1 of our registration statement on Form F-1 (File No. 333 -296585 filed on June 8, 2026)</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Debt Security</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Warrant Agreement and Warrant Certificate</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Unit Agreement and Unit Certificate</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696801ex4-5.htm">
              <w:r>
                <w:rPr>
                  <w:rStyle w:val="InternetLink"/>
                  <w:rFonts w:ascii="Times New Roman;Times;Serif" w:hAnsi="Times New Roman;Times;Serif"/>
                  <w:sz w:val="20"/>
                </w:rPr>
                <w:t>Form of indenture with respect to senior debt securities, to be entered into between registrant and a trustee acceptable to the registrant, if any</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696801ex4-6.htm">
              <w:r>
                <w:rPr>
                  <w:rStyle w:val="InternetLink"/>
                  <w:rFonts w:ascii="Times New Roman;Times;Serif" w:hAnsi="Times New Roman;Times;Serif"/>
                  <w:sz w:val="20"/>
                </w:rPr>
                <w:t>Form of indenture with respect to subordinated debt securities, to be entered into between registrant and a trustee acceptable to the registrant, if any</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pPr>
            <w:hyperlink w:anchor="ea029696801ex5-1.htm">
              <w:r>
                <w:rPr>
                  <w:rStyle w:val="InternetLink"/>
                  <w:rFonts w:ascii="Times New Roman;Times;Serif" w:hAnsi="Times New Roman;Times;Serif"/>
                  <w:sz w:val="20"/>
                </w:rPr>
                <w:t>Legal Opinion of Ogier</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pPr>
            <w:hyperlink w:anchor="ea029696801ex23-1.htm">
              <w:r>
                <w:rPr>
                  <w:rStyle w:val="InternetLink"/>
                  <w:rFonts w:ascii="Times New Roman;Times;Serif" w:hAnsi="Times New Roman;Times;Serif"/>
                  <w:sz w:val="20"/>
                </w:rPr>
                <w:t>Consent of UHY., LLP.</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pPr>
            <w:hyperlink w:anchor="ea029696801ex5-1.htm">
              <w:r>
                <w:rPr>
                  <w:rStyle w:val="InternetLink"/>
                  <w:rFonts w:ascii="Times New Roman;Times;Serif" w:hAnsi="Times New Roman;Times;Serif"/>
                  <w:sz w:val="20"/>
                </w:rPr>
                <w:t>Consent of Ogier (included in Exhibit 5.1).</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pPr>
            <w:hyperlink w:anchor="ea029696801ex23-3.htm">
              <w:r>
                <w:rPr>
                  <w:rStyle w:val="InternetLink"/>
                  <w:rFonts w:ascii="Times New Roman;Times;Serif" w:hAnsi="Times New Roman;Times;Serif"/>
                  <w:sz w:val="20"/>
                </w:rPr>
                <w:t>Consent of Lawrence Chan &amp; Co.</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pPr>
            <w:hyperlink w:anchor="a_024">
              <w:r>
                <w:rPr>
                  <w:rStyle w:val="InternetLink"/>
                  <w:rFonts w:ascii="Times New Roman;Times;Serif" w:hAnsi="Times New Roman;Times;Serif"/>
                  <w:sz w:val="20"/>
                </w:rPr>
                <w:t>Power of Attorney</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T-1 Statement of Eligibility under the Trust Indenture Act of 1939 of the Trustee under the Senior Debt Securities Indenture</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r>
              <w:rPr/>
              <w:t> </w:t>
            </w:r>
          </w:p>
        </w:tc>
      </w:tr>
      <w:tr>
        <w:trPr/>
        <w:tc>
          <w:tcPr>
            <w:tcW w:w="995" w:type="dxa"/>
            <w:tcBorders/>
            <w:shd w:fill="CCEEFF" w:val="clear"/>
            <w:tcMar>
              <w:bottom w:w="0" w:type="dxa"/>
            </w:tcMar>
            <w:vAlign w:val="center"/>
          </w:tcPr>
          <w:p>
            <w:pPr>
              <w:pStyle w:val="TableContents"/>
              <w:bidi w:val="0"/>
              <w:spacing w:before="0" w:after="283"/>
              <w:jc w:val="left"/>
              <w:rPr/>
            </w:pPr>
            <w:r>
              <w:rPr/>
              <w:t>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r>
              <w:rPr/>
              <w:t>Form T-1 Statement of Eligibility under the Trust Indenture Act of 1939 of the Trustee under the Subordinated Debt Securities Indenture</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696801ex-fee.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firstLine="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if applicable, by amendment or as an exhibit to a report filed pursuant to Section 13(a) or 15(d) of the Securities Exchange Act of 1934, as amended, and incorporated herein by reference.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3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720" w:right="0" w:hanging="36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200"/>
        <w:gridCol w:w="69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include any prospectus required by Section 10(a)(3) of the Securities Act of 1933;</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 (iii)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Rule 3-19 of Regulation S-K if such financial statements and information are contained in periodic reports filed with or furnished to the SEC by the registrant pursuant to Section 13 or Section 15(d) of the Securities Exchange Act of 1934 that are incorporated by reference in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245"/>
        <w:gridCol w:w="77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of 1933 to any purchaser</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i/>
                <w:sz w:val="20"/>
              </w:rPr>
              <w:t>provided, however,</w:t>
            </w:r>
            <w:r>
              <w:rPr>
                <w:rFonts w:ascii="Times New Roman;Times;Serif" w:hAnsi="Times New Roman;Times;Serif"/>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4" w:type="dxa"/>
            <w:tcBorders/>
            <w:vAlign w:val="center"/>
          </w:tcPr>
          <w:p>
            <w:pPr>
              <w:pStyle w:val="TableContents"/>
              <w:bidi w:val="0"/>
              <w:spacing w:before="0" w:after="283"/>
              <w:jc w:val="both"/>
              <w:rPr/>
            </w:pPr>
            <w:r>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 and will be governed by the final adjudication of such issue.</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Singapore, on August 14, 2026.</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Intercont (Cayman) Limited</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Muchun Zhu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Muchun Zhu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4"/>
      <w:bookmarkEnd w:id="26"/>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Muchun Zhu his or her true and lawful attorney-in-fact,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7530" w:type="dxa"/>
        <w:jc w:val="left"/>
        <w:tblInd w:w="0" w:type="dxa"/>
        <w:tblLayout w:type="fixed"/>
        <w:tblCellMar>
          <w:top w:w="0" w:type="dxa"/>
          <w:left w:w="0" w:type="dxa"/>
          <w:bottom w:w="28" w:type="dxa"/>
          <w:right w:w="0" w:type="dxa"/>
        </w:tblCellMar>
      </w:tblPr>
      <w:tblGrid>
        <w:gridCol w:w="2510"/>
        <w:gridCol w:w="60"/>
        <w:gridCol w:w="3515"/>
        <w:gridCol w:w="60"/>
        <w:gridCol w:w="1385"/>
      </w:tblGrid>
      <w:tr>
        <w:trPr/>
        <w:tc>
          <w:tcPr>
            <w:tcW w:w="251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5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Muchun Zhu</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Chairman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14, 2026</w:t>
            </w:r>
          </w:p>
        </w:tc>
      </w:tr>
      <w:tr>
        <w:trPr/>
        <w:tc>
          <w:tcPr>
            <w:tcW w:w="25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Muchun Zhu</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5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5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Qingyuan Wang</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14, 2026</w:t>
            </w:r>
          </w:p>
        </w:tc>
      </w:tr>
      <w:tr>
        <w:trPr/>
        <w:tc>
          <w:tcPr>
            <w:tcW w:w="25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Qingyuan Wang</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5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5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Chan Kelvin Zhi Hong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14, 2026</w:t>
            </w:r>
          </w:p>
        </w:tc>
      </w:tr>
      <w:tr>
        <w:trPr/>
        <w:tc>
          <w:tcPr>
            <w:tcW w:w="25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Chan Kelvin Zhi Hong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5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51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 xml:space="preserve">/s/ </w:t>
            </w:r>
            <w:r>
              <w:rPr/>
              <w:t> </w:t>
            </w:r>
            <w:r>
              <w:rPr>
                <w:rFonts w:ascii="Times New Roman;Times;Serif" w:hAnsi="Times New Roman;Times;Serif"/>
                <w:sz w:val="20"/>
              </w:rPr>
              <w:t>Lee Chee Wai</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14, 2026</w:t>
            </w:r>
          </w:p>
        </w:tc>
      </w:tr>
      <w:tr>
        <w:trPr/>
        <w:tc>
          <w:tcPr>
            <w:tcW w:w="25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Lee Chee Wai</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5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51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 xml:space="preserve">/s/ </w:t>
            </w:r>
            <w:r>
              <w:rPr/>
              <w:t> </w:t>
            </w:r>
            <w:r>
              <w:rPr>
                <w:rFonts w:ascii="Times New Roman;Times;Serif" w:hAnsi="Times New Roman;Times;Serif"/>
                <w:sz w:val="20"/>
              </w:rPr>
              <w:t>Wong Khai Meng</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14, 2026</w:t>
            </w:r>
          </w:p>
        </w:tc>
      </w:tr>
      <w:tr>
        <w:trPr/>
        <w:tc>
          <w:tcPr>
            <w:tcW w:w="25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Wong Khai Meng</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REPRESENTATIVE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undersigned, the duly authorized representative in the United States of Intercont (Cayman) Limited, has signed this Registration Statement, in the City of New York, New York on August 14, 2026.</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590"/>
        <w:gridCol w:w="4985"/>
      </w:tblGrid>
      <w:tr>
        <w:trPr/>
        <w:tc>
          <w:tcPr>
            <w:tcW w:w="75"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COGENCY GLOBAL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985" w:type="dxa"/>
            <w:tcBorders>
              <w:bottom w:val="single" w:sz="12" w:space="0" w:color="000000"/>
            </w:tcBorders>
            <w:tcMar>
              <w:bottom w:w="28" w:type="dxa"/>
            </w:tcMar>
            <w:vAlign w:val="center"/>
          </w:tcPr>
          <w:p>
            <w:pPr>
              <w:pStyle w:val="TableContents"/>
              <w:bidi w:val="0"/>
              <w:spacing w:before="0" w:after="283"/>
              <w:jc w:val="left"/>
              <w:rPr/>
            </w:pPr>
            <w:r>
              <w:rPr/>
              <w:t>/s/ 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4985" w:type="dxa"/>
            <w:tcBorders/>
            <w:vAlign w:val="center"/>
          </w:tcPr>
          <w:p>
            <w:pPr>
              <w:pStyle w:val="TableContents"/>
              <w:bidi w:val="0"/>
              <w:spacing w:before="0" w:after="283"/>
              <w:jc w:val="left"/>
              <w:rPr/>
            </w:pPr>
            <w:r>
              <w:rPr/>
              <w:t>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985" w:type="dxa"/>
            <w:tcBorders/>
            <w:vAlign w:val="center"/>
          </w:tcPr>
          <w:p>
            <w:pPr>
              <w:pStyle w:val="TableContents"/>
              <w:bidi w:val="0"/>
              <w:spacing w:before="0" w:after="283"/>
              <w:jc w:val="left"/>
              <w:rPr/>
            </w:pPr>
            <w:r>
              <w:rPr/>
              <w:t>Sr. Vice President on behalf of Cogency Global Inc.</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7" w:name="ea029696801ex4-5.htm"/>
      <w:bookmarkStart w:id="28" w:name="ksea029696801ex45"/>
      <w:bookmarkEnd w:id="27"/>
      <w:bookmarkEnd w:id="28"/>
      <w:r>
        <w:rPr>
          <w:b/>
        </w:rPr>
        <w:t>Exhibit 4.5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INTERCONT(CAYMAN)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294" w:type="dxa"/>
        <w:jc w:val="left"/>
        <w:tblInd w:w="0" w:type="dxa"/>
        <w:tblLayout w:type="fixed"/>
        <w:tblCellMar>
          <w:top w:w="0" w:type="dxa"/>
          <w:left w:w="0" w:type="dxa"/>
          <w:bottom w:w="0" w:type="dxa"/>
          <w:right w:w="0" w:type="dxa"/>
        </w:tblCellMar>
      </w:tblPr>
      <w:tblGrid>
        <w:gridCol w:w="1369"/>
        <w:gridCol w:w="4350"/>
        <w:gridCol w:w="575"/>
      </w:tblGrid>
      <w:tr>
        <w:trPr/>
        <w:tc>
          <w:tcPr>
            <w:tcW w:w="1369" w:type="dxa"/>
            <w:tcBorders/>
            <w:vAlign w:val="center"/>
          </w:tcPr>
          <w:p>
            <w:pPr>
              <w:pStyle w:val="TableContents"/>
              <w:bidi w:val="0"/>
              <w:spacing w:before="0" w:after="283"/>
              <w:jc w:val="left"/>
              <w:rPr/>
            </w:pPr>
            <w:r>
              <w:rPr/>
              <w:t> </w:t>
            </w:r>
          </w:p>
        </w:tc>
        <w:tc>
          <w:tcPr>
            <w:tcW w:w="4350" w:type="dxa"/>
            <w:tcBorders/>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71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 AND INCORPORATION BY REFERENCE</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Definitions.</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Incorporation by Reference of Trust Indenture Act.</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of Construction.</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1369" w:type="dxa"/>
            <w:tcBorders/>
            <w:shd w:fill="FFFFFF" w:val="clear"/>
            <w:vAlign w:val="center"/>
          </w:tcPr>
          <w:p>
            <w:pPr>
              <w:pStyle w:val="TableContents"/>
              <w:bidi w:val="0"/>
              <w:spacing w:before="0" w:after="283"/>
              <w:jc w:val="left"/>
              <w:rPr/>
            </w:pPr>
            <w:r>
              <w:rPr/>
              <w:t> </w:t>
            </w:r>
          </w:p>
        </w:tc>
        <w:tc>
          <w:tcPr>
            <w:tcW w:w="435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r>
      <w:tr>
        <w:trPr/>
        <w:tc>
          <w:tcPr>
            <w:tcW w:w="571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THE SECURITIES</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Issuable in Series.</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Establishment of Terms of Series of Securities.</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Registrar and Paying Agent.</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 to Hold Money in Trust.</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Securityholder Lists.</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Exchange.</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Destroyed, Lost and Stolen Securities.</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Securities.</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Securities.</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Securities.</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Defaulted Interest.</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Securities.</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2.15.</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369" w:type="dxa"/>
            <w:tcBorders/>
            <w:shd w:fill="CCEEFF" w:val="clear"/>
            <w:vAlign w:val="center"/>
          </w:tcPr>
          <w:p>
            <w:pPr>
              <w:pStyle w:val="TableContents"/>
              <w:bidi w:val="0"/>
              <w:spacing w:before="0" w:after="283"/>
              <w:jc w:val="left"/>
              <w:rPr/>
            </w:pPr>
            <w:r>
              <w:rPr/>
              <w:t> </w:t>
            </w:r>
          </w:p>
        </w:tc>
        <w:tc>
          <w:tcPr>
            <w:tcW w:w="435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r>
      <w:tr>
        <w:trPr/>
        <w:tc>
          <w:tcPr>
            <w:tcW w:w="571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REDEMPTION</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to Trustee.</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Selection of Securities to be Redeemed.</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Notice of Redemption.</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Redemption Price.</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Redeemed in Part.</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369" w:type="dxa"/>
            <w:tcBorders/>
            <w:shd w:fill="CCEEFF" w:val="clear"/>
            <w:vAlign w:val="center"/>
          </w:tcPr>
          <w:p>
            <w:pPr>
              <w:pStyle w:val="TableContents"/>
              <w:bidi w:val="0"/>
              <w:spacing w:before="0" w:after="283"/>
              <w:jc w:val="left"/>
              <w:rPr/>
            </w:pPr>
            <w:r>
              <w:rPr/>
              <w:t> </w:t>
            </w:r>
          </w:p>
        </w:tc>
        <w:tc>
          <w:tcPr>
            <w:tcW w:w="435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r>
      <w:tr>
        <w:trPr/>
        <w:tc>
          <w:tcPr>
            <w:tcW w:w="571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COVENANTS </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and Interest.</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Reports.</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4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3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4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Stay, Extension and Usury Laws.</w:t>
            </w:r>
          </w:p>
        </w:tc>
        <w:tc>
          <w:tcPr>
            <w:tcW w:w="5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ind w:left="0" w:right="0" w:hanging="0"/>
        <w:jc w:val="left"/>
        <w:rPr/>
      </w:pPr>
      <w:r>
        <w:rPr/>
        <w:t> </w:t>
      </w:r>
    </w:p>
    <w:tbl>
      <w:tblPr>
        <w:tblW w:w="6870" w:type="dxa"/>
        <w:jc w:val="left"/>
        <w:tblInd w:w="0" w:type="dxa"/>
        <w:tblLayout w:type="fixed"/>
        <w:tblCellMar>
          <w:top w:w="0" w:type="dxa"/>
          <w:left w:w="0" w:type="dxa"/>
          <w:bottom w:w="0" w:type="dxa"/>
          <w:right w:w="0" w:type="dxa"/>
        </w:tblCellMar>
      </w:tblPr>
      <w:tblGrid>
        <w:gridCol w:w="1295"/>
        <w:gridCol w:w="5330"/>
        <w:gridCol w:w="245"/>
      </w:tblGrid>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Interest Notice.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Instruments and Acts.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1295"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662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SUCCESSORS </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Company May Merge, Etc.</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Corporation Substituted.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1295" w:type="dxa"/>
            <w:tcBorders/>
            <w:shd w:fill="CCEEFF" w:val="clear"/>
            <w:vAlign w:val="center"/>
          </w:tcPr>
          <w:p>
            <w:pPr>
              <w:pStyle w:val="TableContents"/>
              <w:bidi w:val="0"/>
              <w:spacing w:before="0" w:after="283"/>
              <w:jc w:val="left"/>
              <w:rPr/>
            </w:pPr>
            <w:r>
              <w:rPr/>
              <w:t> </w:t>
            </w:r>
          </w:p>
        </w:tc>
        <w:tc>
          <w:tcPr>
            <w:tcW w:w="53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662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DEFAULTS AND REMEDIES </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 of Maturity; Rescission and Annulment.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of Indebtedness and Suits for Enforcement by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File Proofs of Claim.</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Enforce Claims Without Possession of Securities.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Money Collected.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Unconditional Right of Holders to Receive Principal and Interest.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Restoration of Rights and Remedies.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 Cumulative.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Delay or Omission Not Waiver.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Past Defaults.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6.14.</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6625"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662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TRUSTEE </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of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Individual Rights of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Disclaimer.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Trustee to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Indemnity.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Trustee by Merger, etc.</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 Disqualification.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5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center"/>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1400"/>
        <w:gridCol w:w="6650"/>
        <w:gridCol w:w="245"/>
      </w:tblGrid>
      <w:tr>
        <w:trPr/>
        <w:tc>
          <w:tcPr>
            <w:tcW w:w="805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SATISFACTION AND DISCHARGE; DEFEASANCE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Indenture.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Trust Funds; Indemnification.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Defeasance of Securities of any Series.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Defeasance.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to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400" w:type="dxa"/>
            <w:tcBorders/>
            <w:shd w:fill="CCEEFF" w:val="clear"/>
            <w:vAlign w:val="center"/>
          </w:tcPr>
          <w:p>
            <w:pPr>
              <w:pStyle w:val="TableContents"/>
              <w:bidi w:val="0"/>
              <w:spacing w:before="0" w:after="283"/>
              <w:jc w:val="left"/>
              <w:rPr/>
            </w:pPr>
            <w:r>
              <w:rPr/>
              <w:t> </w:t>
            </w:r>
          </w:p>
        </w:tc>
        <w:tc>
          <w:tcPr>
            <w:tcW w:w="665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805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AMENDMENTS AND WAIVERS </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Consent of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Consent of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Trust Indenture Act.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Revocation and Effect of Consents.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or Exchange of Securities.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9.07.</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Protected.</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9.08.</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400" w:type="dxa"/>
            <w:tcBorders/>
            <w:shd w:fill="CCEEFF" w:val="clear"/>
            <w:vAlign w:val="center"/>
          </w:tcPr>
          <w:p>
            <w:pPr>
              <w:pStyle w:val="TableContents"/>
              <w:bidi w:val="0"/>
              <w:spacing w:before="0" w:after="283"/>
              <w:jc w:val="left"/>
              <w:rPr/>
            </w:pPr>
            <w:r>
              <w:rPr/>
              <w:t> </w:t>
            </w:r>
          </w:p>
        </w:tc>
        <w:tc>
          <w:tcPr>
            <w:tcW w:w="665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805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MISCELLANEOUS </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Indenture Act Controls.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Communication by Holders with Other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and Opinion as to Conditions Precedent.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Statements Required in Certificate or Opinion.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 Date for Vote or Consent of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10.07.</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by Trustee and Agents.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Holidays.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10.09.</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Recourse Against Others.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Laws and Submission to Jurisdiction.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Adverse Interpretation of Other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10.14.</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10.15.</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10.16.</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in a Foreign Currency or in ECU.</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10.17.</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Judgment Currency.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10.18.</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Applicable Anti-Terrorism and Money Laundering Regulations.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8050"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805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 SINKING FUNDS </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Applicability of Article.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of Sinking Fund Payments with Securities.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w:t>
            </w:r>
          </w:p>
        </w:tc>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of Securities for Sinking Fund.</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between Trust Indenture Act of 1939 and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 2026</w:t>
      </w:r>
    </w:p>
    <w:p>
      <w:pPr>
        <w:pStyle w:val="TextBody"/>
        <w:bidi w:val="0"/>
        <w:spacing w:before="0" w:after="0"/>
        <w:ind w:left="0" w:right="0" w:hanging="0"/>
        <w:jc w:val="center"/>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745"/>
        <w:gridCol w:w="60"/>
        <w:gridCol w:w="1280"/>
      </w:tblGrid>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310(a)(1)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7.10</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7.10</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(a)(3)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(a)(5)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7.10</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7.10</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311(a)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7.11</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7.11</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312(a)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2.06</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10.03</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10.03</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313(a)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7.06</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(b)(1)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7.06</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(b)(2)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7.06</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(c)(1)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7.06</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7.06</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314(a)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4.02, 10.05</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(c)(1)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10.04</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(c)(2)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10.04</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(c)(3)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10.05</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315(a)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7.01</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7.05</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7.01</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7.01</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6.14</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316(a)(1)(A)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6.12</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(a)(1)(B)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6.13</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Applicable</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6.13</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10.06</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317(a)(1)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6.03</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6.04</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2.05</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318(a)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part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 2026 between INTERCONT(CAYMAN) LIMITED, a Cayman Islands exempted company (the “Company”) and [         ] (the “Trustee”).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of the Securities issued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br/>
        <w:t>DEFINITIONS AND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Amounts</w:t>
      </w:r>
      <w:r>
        <w:rPr>
          <w:rFonts w:ascii="Times New Roman;Times;Serif" w:hAnsi="Times New Roman;Times;Serif"/>
          <w:b w:val="false"/>
          <w:i w:val="false"/>
          <w:caps w:val="false"/>
          <w:smallCaps w:val="false"/>
          <w:sz w:val="20"/>
        </w:rPr>
        <w:t>” means any additional amounts which are required hereby or by any Security, under circumstances specified herein or therein, to be paid by the Company in respect of certain taxes imposed on Holders specified therein and which are owing to such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54"/>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0" w:after="0"/>
        <w:ind w:left="0" w:right="0" w:firstLine="754"/>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of the United States Code (or any successor thereto) or any similar federal or state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(x) Saturday, (y) Sunday or (z) day on which state or federally chartered banking institutions in New York, New York are not required to be open.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Capital</w:t>
      </w:r>
      <w:r>
        <w:rPr>
          <w:rFonts w:ascii="Times New Roman;Times;Serif" w:hAnsi="Times New Roman;Times;Serif"/>
          <w:b w:val="false"/>
          <w:i w:val="false"/>
          <w:caps w:val="false"/>
          <w:smallCaps w:val="false"/>
          <w:sz w:val="20"/>
        </w:rPr>
        <w:t>” of any Person means any and all shares, interests, rights to purchase, warrants, options, participations or other equivalents of or interests in (however designated) equity of such Person, but excluding any debt securities convertible into such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Certificated Securities</w:t>
      </w:r>
      <w:r>
        <w:rPr>
          <w:rFonts w:ascii="Times New Roman;Times;Serif" w:hAnsi="Times New Roman;Times;Serif"/>
          <w:b w:val="false"/>
          <w:i w:val="false"/>
          <w:caps w:val="false"/>
          <w:smallCaps w:val="false"/>
          <w:sz w:val="20"/>
        </w:rPr>
        <w:t>” means Securities in the form of physical, certificated Securities in registered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party named as such above until a successor replaces it in accordance with the terms of this Indenture and thereafter means the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signed in the name of the Company by two Officers, one of whom must be the Company’s principal executive officer, principal financial officer or principal accounting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Request</w:t>
      </w:r>
      <w:r>
        <w:rPr>
          <w:rFonts w:ascii="Times New Roman;Times;Serif" w:hAnsi="Times New Roman;Times;Serif"/>
          <w:b w:val="false"/>
          <w:i w:val="false"/>
          <w:caps w:val="false"/>
          <w:smallCaps w:val="false"/>
          <w:sz w:val="20"/>
        </w:rPr>
        <w:t>” means a written request signed in the name of the Company by its Chairman of the Board, a President or a Vice President, and by its Chief Financial Officer, its Secretary or an Assistant Secretary,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office at the date of the execution of this Indenture is [          ], Attention: [          ], or at such other address as the Trustee may designate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sequestrator or similar official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or “default” means any event which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means the default rate of interest specified in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Depository</w:t>
      </w:r>
      <w:r>
        <w:rPr>
          <w:rFonts w:ascii="Times New Roman;Times;Serif" w:hAnsi="Times New Roman;Times;Serif"/>
          <w:b w:val="false"/>
          <w:i w:val="false"/>
          <w:caps w:val="false"/>
          <w:smallCaps w:val="false"/>
          <w:sz w:val="20"/>
        </w:rPr>
        <w:t>”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and if at any time there is more than one such person, “Depository” as used with respect to the Securities of any Series shall mean the Depository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Discount Security</w:t>
      </w:r>
      <w:r>
        <w:rPr>
          <w:rFonts w:ascii="Times New Roman;Times;Serif" w:hAnsi="Times New Roman;Times;Serif"/>
          <w:b w:val="false"/>
          <w:i w:val="false"/>
          <w:caps w:val="false"/>
          <w:smallCaps w:val="false"/>
          <w:sz w:val="20"/>
        </w:rPr>
        <w:t>” means any Security that provides for an amount less than the stated principal amount thereof to be due and payable upon declaration of acceleration of the maturity thereof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ECU</w:t>
      </w:r>
      <w:r>
        <w:rPr>
          <w:rFonts w:ascii="Times New Roman;Times;Serif" w:hAnsi="Times New Roman;Times;Serif"/>
          <w:b w:val="false"/>
          <w:i w:val="false"/>
          <w:caps w:val="false"/>
          <w:smallCaps w:val="false"/>
          <w:sz w:val="20"/>
        </w:rPr>
        <w:t>” means the European Currency Unit as determined by the Commission of the European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Currency</w:t>
      </w:r>
      <w:r>
        <w:rPr>
          <w:rFonts w:ascii="Times New Roman;Times;Serif" w:hAnsi="Times New Roman;Times;Serif"/>
          <w:b w:val="false"/>
          <w:i w:val="false"/>
          <w:caps w:val="false"/>
          <w:smallCaps w:val="false"/>
          <w:sz w:val="20"/>
        </w:rPr>
        <w:t>” means any currency or currency unit issued by a government other than the government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Government Obligations</w:t>
      </w:r>
      <w:r>
        <w:rPr>
          <w:rFonts w:ascii="Times New Roman;Times;Serif" w:hAnsi="Times New Roman;Times;Serif"/>
          <w:b w:val="false"/>
          <w:i w:val="false"/>
          <w:caps w:val="false"/>
          <w:smallCaps w:val="false"/>
          <w:sz w:val="20"/>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Global Securities</w:t>
      </w:r>
      <w:r>
        <w:rPr>
          <w:rFonts w:ascii="Times New Roman;Times;Serif" w:hAnsi="Times New Roman;Times;Serif"/>
          <w:b w:val="false"/>
          <w:i w:val="false"/>
          <w:caps w:val="false"/>
          <w:smallCaps w:val="false"/>
          <w:sz w:val="20"/>
        </w:rPr>
        <w:t>” means a Security or Securities, as the case may be, in the form established pursuant to Section 2.02 evidencing all or part of a Series of Securities, issued to the Depository for such Series or its nominee, and registered in the name of such Depository or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means a person in whose name a Security is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amended and supplemented from time to time and shall include the form and terms of particular Series of Securities established as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in respect of the Securities, unless the context otherwise requires, refers to interest payable on the Securities, including any additional interest that may become payable pursuant to Section 6.02(b).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w:t>
      </w:r>
      <w:r>
        <w:rPr>
          <w:rFonts w:ascii="Times New Roman;Times;Serif" w:hAnsi="Times New Roman;Times;Serif"/>
          <w:b w:val="false"/>
          <w:i w:val="false"/>
          <w:caps w:val="false"/>
          <w:smallCaps w:val="false"/>
          <w:sz w:val="20"/>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the Chairman of the Board, the President, any Vice-President, the Treasurer, the Secretary, any Assistant Treasurer or any Assistant Secretary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two Officers, one of whom must be the Company’s principal executive officer, principal financial officer or principal accounting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 written opinion of legal counsel who is, and which opinion is, acceptable to the Trustee and its counsel. Such legal counsel may be an employee of or counsel to the Company or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association, limited liability company, joint-stock company, trust, unincorporated organization or government or any agency or political subdivision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of a Security means the principal of the Security plus, when appropriate, the premium, if any, on, and any Additional Amounts in respect of,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any officer of the Trustee in its Corporate Trust Office and also means, any vice president, managing director, director, associate, assistant vice president, or any other officer of the Trustee customarily performing functions similar to those performed by any of the above designated officers and also, with respect to a particular corporate trust matter, any other officer to whom any corporate trust matter is referred because of his or her knowledge of and familiarity with a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the debentures, notes or other debt instruments of the Company of any Series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Series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Series of Securities</w:t>
      </w:r>
      <w:r>
        <w:rPr>
          <w:rFonts w:ascii="Times New Roman;Times;Serif" w:hAnsi="Times New Roman;Times;Serif"/>
          <w:b w:val="false"/>
          <w:i w:val="false"/>
          <w:caps w:val="false"/>
          <w:smallCaps w:val="false"/>
          <w:sz w:val="20"/>
        </w:rPr>
        <w:t>” means each series of debentures, notes or other debt instruments of the Company created pursuant to Sections 2.01 and 2.02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Stated Maturity</w:t>
      </w:r>
      <w:r>
        <w:rPr>
          <w:rFonts w:ascii="Times New Roman;Times;Serif" w:hAnsi="Times New Roman;Times;Serif"/>
          <w:b w:val="false"/>
          <w:i w:val="false"/>
          <w:caps w:val="false"/>
          <w:smallCaps w:val="false"/>
          <w:sz w:val="20"/>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Indebtedness</w:t>
      </w:r>
      <w:r>
        <w:rPr>
          <w:rFonts w:ascii="Times New Roman;Times;Serif" w:hAnsi="Times New Roman;Times;Serif"/>
          <w:b w:val="false"/>
          <w:i w:val="false"/>
          <w:caps w:val="false"/>
          <w:smallCaps w:val="false"/>
          <w:sz w:val="20"/>
        </w:rPr>
        <w:t>” means any indebtedness which is expressly subordinated to the indebtedness evidenced by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in respect of any Person, any corporation, association, partnership or other business entity of which more than 50% of the total voting power of Share Capital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means the Trust Indenture Act of 1939 (15 U.S. Code Sections 77aaa-77bbbb) as in effect on the date of this Indenture; provided, however, that in the event the Trust Indenture Act of 1939 is amended after such date, “TIA” means, to the extent required by any such amendment, the Trust Indenture Act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Other Definitions.</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930"/>
        <w:gridCol w:w="60"/>
        <w:gridCol w:w="2075"/>
      </w:tblGrid>
      <w:tr>
        <w:trPr/>
        <w:tc>
          <w:tcPr>
            <w:tcW w:w="29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w:t>
            </w:r>
          </w:p>
        </w:tc>
        <w:tc>
          <w:tcPr>
            <w:tcW w:w="60" w:type="dxa"/>
            <w:tcBorders/>
            <w:tcMar>
              <w:bottom w:w="0" w:type="dxa"/>
            </w:tcMar>
            <w:vAlign w:val="center"/>
          </w:tcPr>
          <w:p>
            <w:pPr>
              <w:pStyle w:val="TableContents"/>
              <w:bidi w:val="0"/>
              <w:spacing w:before="0" w:after="283"/>
              <w:jc w:val="left"/>
              <w:rPr/>
            </w:pPr>
            <w:r>
              <w:rPr/>
              <w:t> </w:t>
            </w:r>
          </w:p>
        </w:tc>
        <w:tc>
          <w:tcPr>
            <w:tcW w:w="20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DEFINED IN SECTION</w:t>
            </w:r>
          </w:p>
        </w:tc>
      </w:tr>
      <w:tr>
        <w:trPr/>
        <w:tc>
          <w:tcPr>
            <w:tcW w:w="2930"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Applicable Law”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10.18</w:t>
            </w:r>
          </w:p>
        </w:tc>
      </w:tr>
      <w:tr>
        <w:trPr/>
        <w:tc>
          <w:tcPr>
            <w:tcW w:w="2930"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Event of Default”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6.01</w:t>
            </w:r>
          </w:p>
        </w:tc>
      </w:tr>
      <w:tr>
        <w:trPr/>
        <w:tc>
          <w:tcPr>
            <w:tcW w:w="2930"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Instrument”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6.01</w:t>
            </w:r>
          </w:p>
        </w:tc>
      </w:tr>
      <w:tr>
        <w:trPr/>
        <w:tc>
          <w:tcPr>
            <w:tcW w:w="2930"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Journal”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10.16</w:t>
            </w:r>
          </w:p>
        </w:tc>
      </w:tr>
      <w:tr>
        <w:trPr/>
        <w:tc>
          <w:tcPr>
            <w:tcW w:w="2930"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Judgment Currency”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10.17</w:t>
            </w:r>
          </w:p>
        </w:tc>
      </w:tr>
      <w:tr>
        <w:trPr/>
        <w:tc>
          <w:tcPr>
            <w:tcW w:w="2930"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Legal Holiday”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10.08</w:t>
            </w:r>
          </w:p>
        </w:tc>
      </w:tr>
      <w:tr>
        <w:trPr/>
        <w:tc>
          <w:tcPr>
            <w:tcW w:w="2930"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mandatory sinking fund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11.01</w:t>
            </w:r>
          </w:p>
        </w:tc>
      </w:tr>
      <w:tr>
        <w:trPr/>
        <w:tc>
          <w:tcPr>
            <w:tcW w:w="2930"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Market Exchange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10.16</w:t>
            </w:r>
          </w:p>
        </w:tc>
      </w:tr>
      <w:tr>
        <w:trPr/>
        <w:tc>
          <w:tcPr>
            <w:tcW w:w="2930"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New York Banking Day”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10.17</w:t>
            </w:r>
          </w:p>
        </w:tc>
      </w:tr>
      <w:tr>
        <w:trPr/>
        <w:tc>
          <w:tcPr>
            <w:tcW w:w="2930"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optional sinking fund payment”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11.01</w:t>
            </w:r>
          </w:p>
        </w:tc>
      </w:tr>
      <w:tr>
        <w:trPr/>
        <w:tc>
          <w:tcPr>
            <w:tcW w:w="2930"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Paying Agent”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2.04</w:t>
            </w:r>
          </w:p>
        </w:tc>
      </w:tr>
      <w:tr>
        <w:trPr/>
        <w:tc>
          <w:tcPr>
            <w:tcW w:w="2930"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Registrar”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2.04</w:t>
            </w:r>
          </w:p>
        </w:tc>
      </w:tr>
      <w:tr>
        <w:trPr/>
        <w:tc>
          <w:tcPr>
            <w:tcW w:w="2930"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Required Currency”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10.17</w:t>
            </w:r>
          </w:p>
        </w:tc>
      </w:tr>
      <w:tr>
        <w:trPr/>
        <w:tc>
          <w:tcPr>
            <w:tcW w:w="2930"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successor person”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5.01</w:t>
            </w:r>
          </w:p>
        </w:tc>
      </w:tr>
      <w:tr>
        <w:trPr/>
        <w:tc>
          <w:tcPr>
            <w:tcW w:w="2930"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sz w:val="20"/>
              </w:rPr>
              <w:t>Temporary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Incorporation by Reference of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 This Indenture shall also include those provisions of the TIA required to be included herein by the provisions of the Trust Indenture Reform Act of 1990. The following TIA terms used in this Indenture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Securityholder.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or “institutional trustee” means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 and any successor obligor upon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Rules of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references to “generally accepted accounting principles” shall mean generally accepted accounting principles in effect as of the time when and for the period as to which such accounting principles are to be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“or” is not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words in the singular include the plural, and in the plural include the singular;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provisions apply to successive events and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references to agreements and other instruments include subsequent amendments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term “merger” includes a statutory share exchange, and the term “merged” has a correlative meaning;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“herein,” “hereof”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br/>
        <w:t>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Establishment of Terms of Series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(a), and either as to such Securities within the Series or as to the Series generally in the case of Subsections (b) through (t) by a Board Resolution, a supplemental indenture or an Officers’ Certificate pursuant to authority granted under a Board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designation, aggregate principal amount and authorized denominations of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price or prices, (expressed as a percentage of the aggregate principal amount thereof) at which the Securities of the Series will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commence and be payable and any regular record date for the interest payable on any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optional or mandatory sinking fund provisions or conversion or exchangeability provisions upon which Securities of the Series shall be redeemed, purchased, converted or exchanged;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date, if any, after which and the price or prices at which the Securities of the Series may be optionally redeemed or must be mandatorily redeemed and any other terms and provisions of optional or mandatory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other than denominations of $1,000 and any integral multiple thereof, the denominations in which the Securities of the Series shall be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other than the full principal amount, the portion of the principal amount of the Securities of the Series that shall be payable upon declaration of acceleration pursuant to Section 6.02 or provable in bankruptcy;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currency or currencies, including composite currencies, in which payments of principal of, premium or interest, if any, on the Securities of the Series will be payable, if other than the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payments of principal of, premium or interest, if any, on the Securities of the Series will be payable, at the Company’s election or at the election of any Holder, in a currency other than that in which the Securities of the Series are stated to be payable, the period or periods within which, and the terms and conditions upon which, the election may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payments of interest, if any, on the Securities of the Series will be payable, at the Company’s election or at the election of any Holder, in cash or additional securities, and the terms and conditions upon which the election may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denominated in a currency or currencies other than the currency of the United States of America, the equivalent price of the Securities of the Series in the currency of the United States of America for purposes of determining the voting rights of Holders of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amount of payments of principal, premium or interest may be determined with reference to an index, formula or other method based on a coin or currency other than that in which the Securities of the Series are stated to be payable, the manner in which the amounts will be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restrictive covenants or other material terms relating to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whether the Securities of the Series will be issued in the form of global securities or certificates in registered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any terms with respect to subordination;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listing on any securities exchange or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additional provisions, if any, related to defeasance and discharge of the offered debt securities;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 the applicability of any guarantees, which would be governed by New York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may be issued from time to time, consistent with the terms of this Indenture, if so provided by or pursuant to the Board Resolution, supplemental indenture or Officers’ Certificate referred to above, and the authorized principal amount of any Series may not be increased to provide for issuance of additional Securities of such Series, unless otherwise provided in such Board Resolution, supplemental Indenture or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Execution and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Officers shall sign the Securities for the Company by manual or facsimile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 an Opinion of Counsel complying with Section 10.04.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of such Series: (a) if the Trustee, being advised by counsel, determines that such action may not lawfully be taken; or (b) if a Responsible Officer of the Trustee in good faith shall determine that such action would expose the Trustee to personal liability to Holders of any then outstanding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successor that has replaced the Company in accordance with Article 5 has executed an indenture supplemental hereto with the Trustee pursuant to Section 5.01, any of the Securities authenticated or delivered prior to such transaction may, from time to time, at the request of such successor, be exchanged for other Securities executed in the name of the such successor with such changes in phraseology and form as may be appropriate, but otherwise identical to the Securities surrendered for such exchange and of like principal amount; and the Trustee, upon receipt of a Company Order of such successor, shall authenticate and deliver Securities as specified in such order for the purpose of such exchange. If Securities shall at any time be authenticated and delivered in any new name of such successor pursuant to this provision of Section 2.03 in exchange or substitution for or upon registration of transfer of any Securities, such successor, at the option of the Holders but without expense to them, shall provide for the exchange of all Securities then outstanding for Securities authenticated and delivered in such new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Registrar and Paying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with respect to each Series of Securities, at the place or places specified with respect to such Series pursuant to Section 2.02, an office or agency where Securities of such Series may be presented or surrendered for payment (“Paying Agent”) and where Securities of such Series may be surrendered for registration of transfer or exchange (“Registrar”). The Registrar shall keep a register with respect to each Series of Securities and to their transfer and exchange. The Company will give prompt written notice to the Trustee of the name and address, and any change in the name or address, of each Registrar and Paying Agent. If at any time the Company shall fail to maintain any such required Registrar or Paying Agent or shall fail to furnish the Trustee with the name and address thereof, such presentations and surrenders may be made or served at the Corporate Trust Office of the Trustee, and the Company hereby appoints the Trustee as its agent to receive all such presentations and surrenders.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co-registrars or additional paying agents and may from time to time rescind such designations; provided, however, that no such designation or rescission shall in any manner relieve the Company of its obligations to maintain a Registrar or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appoints [     ] as the initial Registrar and Paying Agent for each Series unless another Registrar or Paying Agent as the case may be, is appointed prior to the time Securities of that Series are first issued. Each Registrar and Paying Agent shall be entitled to all of the rights, protections, exculpations and indemnities afforded to the Trustee in connection with its roles as Registrar and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Paying Agent to Hold Money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Securityholders of any Series of Securities all money held by it as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Securityholder 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and shall otherwise comply with TIA Section 312(a). If the Trustee is not the Registrar, the Company shall furnish to the Trustee at least [     ]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Transfer and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Any exchange or transfer shall be without charge, except that the Company or the Registrar may require payment of a sum sufficient to cover any tax or other governmental charge required by law; provided that this sentence shall not apply to any exchange pursuant to Section 2.11, 2.08, 3.06 or 9.06.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Registrar shall be required (a) to issue, register the transfer of, or exchange Securities of any Series for the period beginning at the opening of business [         ]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Company, evidencing the same debt and entitled to the same benefits under this Indenture, as the Securities surrendered upon such transfer or exchange. Any Registrar appointed pursuant to Section 2.04 shall provide to the Trustee such information as the Trustee may reasonably require in connection with the delivery by such Registrar of Securities upon transfer or exchange of Securities. Each Holder of a Security agrees to indemnify the Company and the Trustee against any liability that may result from the transfer, exchange or assignment of such Holder’s Security in violation of any provision of this Indenture and/or applicable U.S. federal or state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Mutilated, Destroyed, Lost and Stolen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Registrar,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Registrar (i) evidence to their satisfaction of the destruction, loss or theft of any Security and (ii) such security or indemnity as may be required by them to save each of them and any agent of either of them harmless, then, in the absence of notice to the Company or the Registrar that such Security has been acquired by a bona fide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Outstanding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2.08, it ceases to be outstanding until the Trustee receives proof satisfactory to it that the replaced Security is held by a bona fide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a Subsidiary or an Affiliate of any thereof)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does not cease to be outstanding because the Company or an Affiliate holds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Treasury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Securities of a Series have concurred in any request, demand, authorization, direction, notice, consent or waiver Securities of a Series owned by the Company or an Affiliate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Temporary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the Trustee shall authenticate temporary securities upon a Company Order (“Temporary Securities”). Temporary Securities shall be substantially in the form of definitive Securities but may have variations that the Company considers appropriate for temporary Securities. Without unreasonable delay, the Company shall prepare and the Trustee upon written request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any time may deliver Securities to the Trustee for cancellation. The Registrar and the Paying Agent shall forward to the Trustee or its agent any Securities surrendered to them for transfer, exchange, payment or conversion. The Trustee and no one else shall cancel, in accordance with its standard procedures, all Securities surrendered for transfer, exchange, payment, conversion or cancellation and shall deliver the cancelled Securities to the Company. No Security shall be authenticated in exchange for any Security cancelled pursuant to this Section 2.12.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to the extent permitted by law, purchase Securities in the open market or by tender offer at any price or by private agreement. Any Securities purchased or otherwise acquired by the Company or any of its Subsidiaries prior to the final maturity of such Securities may, to the extent permitted by law, be reissued or resold or may, at the option of the Company, be surrendered to the Trustee for cancellation. Any Securities surrendered for cancellation may not be reissued or resold and shall be promptly cancelled by the Trustee, and the Company may not hold or resell such Securities or issue any new Securities to replace any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Defaulted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a Series of Securities, it shall pay defaulted interest, plus, to the extent permitted by law, any interest payable on the defaulted interest at the Default Rate, to the persons who are Security holders of the Series on a subsequent special record date. The Company shall fix the record date and payment date. At least [          ] days before the record date, the Company shall mail to the Trustee and the Paying Agent and to each Securityholder of the Series a notice that states the record date, the payment date and the amount of interest to be paid. The Company may pay defaulted interest in any other lawful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Board Resolution, a supplemental indenture hereto or an Officers’ Certificate shall establish whether the Securities of a Series shall be issued in whole or in part in the form of one or more Global Securities and the Depository for such Global Security 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Notwithstanding any provisions to the contrary contained in Section 2.07 of the Indenture and in addition thereto, any Global Security shall be exchangeable pursuant to Section 2.07 of the Indenture for Securities registered in the names of Holders other than the Depository for such Security or its nominee only if (A) such Depository notifies the Company that it is unwilling or unable to continue as Depository for such Global Security or if at any time such Depository ceases to be a clearing agency registered under the Exchange Act, and, in either case, the Company fails to appoint a successor Depository within 90 days of such event, (B) the Company executes and delivers to the Trustee an Officers’ Certificate to the effect that such Global Security shall be so exchangeable or (C) an Event of Default with respect to the Securities represented by such Global Security shall have happened and be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provided in this Section 2.14(b),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Securities issued in exchange for a Global Security or any portion thereof shall be issued in definitive, fully registered form, without interest coupons, shall have an aggregate principal amount equal to that of such Global Security or portion thereof to be so exchanged, shall be registered in such names and be in such authorized denominations as the Depository shall designate and shall bear the applicable legends provided for herein. Any Global Security to be exchanged in whole shall be surrendered by the Depository to the Trustee, as Registrar. With regard to any Global Security to be exchanged in part, either such Global Security shall be so surrendered for exchange or, if the Registrar is acting as custodian for the Depository or its nominee with respect to such Global Security, the principal amount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Depository or an authorized representative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registered Holder may grant proxies and otherwise authorize any Person, including participants in the Depository and persons that may hold interests through participants in the Depository, to take any action which a Holder is entitled to take under this Indenture or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of the occurrence of any of the events specified in 2.14(b)(i), the Company will promptly make available to the Trustee a reasonable supply of Certificated Securities in definitive, fully registered form, without interest coupons. If (A) an event described in Section 2.14(b)(i)(A) or (B) occurs and definitive Certificated Securities are not issued promptly to all beneficial owners or (B) the Registrar receives from a beneficial owner instructions to obtain definitive Certificated Securities due to an event described in Section 2.14(b)(i)(C) and definitive Certificated Securities are not issued promptly to any such beneficial owner, the Company expressly acknowledges, with respect to the right of any Holder to pursue a remedy pursuant to Section 6.07 hereof, the right of any beneficial owner of Securities to pursue such remedy with respect to the portion of the Global Security that represents such beneficial owner’s Securities as if such definitive certificated Securities had been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Notwithstanding any provision to the contrary in this Indenture, so long as a Global Security remains outstanding and is held by or on behalf of the Depository, transfers of a Global Security, in whole or in part, or of any beneficial interest therein, shall only be made in accordance with Section 2.07, this Section 2.14(b) and the rules and procedures of the Depository for such Global Security to the extent applicable to such transaction and as in effect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Global Security issued hereunder shall bear a legend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Depository,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other provisions of this Indenture, unless otherwise specified as contemplated by Section 2.02, payment of the principal of and interest, if any, on any Global Security shall be made to the Holder thereof at their registered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all times the Securities are held in book-entry form with a Depository, (i) the Trustee may deal with such Depository as the authorized representative of the Holders, (ii) the rights of the Holders shall be exercised only through the Depository and shall be limited to those established by law and agreement between the Holders and the Depository and/or direct participants of the Depository, (iii) the Depository will make book-entry transfers among the direct participants of the Depository and will receive and transmit distributions of principal and interest on the Securities to such direct participants; and (iv) the direct participants of the Depository shall have no rights under this Indenture, or any supplement hereto, under or with respect to any of the Securities held on their behalf by the Depository, and the Depository may be treated by the Trustee and its agents, employees, officers and directors as the absolute owner of the Securities for all purposes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CUSIP Numbers.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“ISIN” or other identification numbers (if then generally in use), and, if so, the Trustee shall use “CUSIP”, “ISIN” or such other identification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br/>
        <w:t>REDEMPTION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Notice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and Registrar in writing of the redemption date and the principal amount of Series of Securities to be redeemed. The Company shall give the notice at least [     ] days before the redemption date (or such shorter notice as may be acceptable to the Trustee and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Selection of Securities to be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a Board Resolution, a supplemental indenture or an Officers’ Certificate, if less than all the Securities of a Series are to be redeemed, the Registrar shall select the Securities of the Series to be redeemed in accordance with its customary procedures. The Registrar shall make the selection from Securities of the Series outstanding not previously called for redemption. The Registrar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2.02(g), the minimum principal denomination for each Series and integral multiples thereof. Provisions of this Indenture that apply to Securities of a Series called for redemption also apply to portions of Securities of that Series called for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Notice of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a supplemental indenture hereto or an Officers’ Certificate, at least [   ] days but not more than [      ] days before a redemption date, the Company shall mail a notice of redemption by first-class mail to each Holder whose Securities are to be redeemed.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Securities of the Series to be redeemed and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name and address of the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Securities of the Series called for redemption must be surrendered to the Paying Agent to collect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interest on Securities of the Series called for redemption ceases to accrue on and after the redemption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information as may be required by the terms of the particular Series or the Securities of a Series being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written request, the Trustee shall distribute the notice of redemption prepared by the Company in the Company’s name and at its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Effect of Notice of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mailed or published as provided in Section 3.03,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Deposit of Redemption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redemption date, the Company shall deposit with the Paying Agent money sufficient to pay the redemption price of and accrued interest, if any, on all Securities to be redeemed on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Securities Redeemed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w:t>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Payment of Principal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under the terms of a particular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installment of principal or interest shall be considered paid on the date it is due if the Paying Agent (other than the Company) holds by [          ] [a].m., New York City time, on that date money, deposited by the Company or an Affiliate thereof, sufficient to pay such installment. The Company shall (in immediately available funds), to the fullest extent permitted by law, pay interest on overdue principal and overdue installments of interest at the rate borne by the Securities per annum;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payment of the principal of and interest on the Securities shall be made at the office or agency of the Company maintained for that purpose in [          ] (which shall initially be [          ], the Paying Agent) in such coin or currency of the United States of America as at the time of payment is legal tender for payment of public and private debts;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at the option of the Company payment of interest may be made by check mailed to the address of the Person entitled thereto as such address appears in the register;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 Holder with an aggregate principal amount in excess of $[          ] will be paid by wire transfer in immediately available funds at the election of such Holder if such Holder has provided wire transfer instructions to the Company at least [          ] Business Days prior to the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SEC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Securities are outstanding, the Company shall (i) file with the SEC within the time periods prescribed by its rules and regulations and (ii) furnish to the Trustee and the Holders of the Securities within [          ] days after the date on which the Company would be required to file the same with the SEC pursuant to its rules and regulations (giving effect to any grace period provided by Rule 12b-25 under the Exchange Act), all quarterly and annual financial information required to be furnished or filed with the SEC pursuant to Section 13 and Section 15(d) of the Exchange Act and, with respect to the annual consolidated financial statements only, a report thereon by the Company’s independent auditors. The Company also shall comply with the other provisions of TIA Section 314(a).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Company shall not be required to file any report or other information with the SEC if the SEC does not permit such filing, although such reports shall be furnished to the Trustee. Documents filed by the Company with the SEC via the SEC’s EDGAR system (or any successor thereto) will be deemed furnished to the Trustee and the Holders of the Securities as of the time such documents are filed via EDGAR (or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Compliance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    ] days after the end of each fiscal year of the Company, an officers certificate signed by two of the Company’s officers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in reasonable detail and the efforts to remedy the same). For purposes of this Section 4.03, compliance shall be determined without regard to any grace period or requirement of notice provided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   ] days after the occurrence thereof, written notice in the form of an Officers’ Certificate of any Event of Default described in Section 6.01(e), (f), (g) or (h) and any event of which it becomes aware that with the giving of notice or the lapse of time would become such an Event of Default, its status and what action the Company is taking or proposes to take with respect thereto. For the avoidance of doubt, a breach of a covenant under an Instrument that is not a payment default and that has not given rise to a right of acceleration under such Instrument shall not trigger the requirement to provide notice under this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Stay, Extension and Usury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Corporate Existence.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V, the Company will do or cause to be done all things necessary to preserve and keep in full force and effect its corporate existence and the corporate, partnership or other existence of each Subsidiary in accordance with the respective organizational documents of each Subsidiary and the rights (charter and statutory), licenses and franchises of the Company and its Subsidiaries; provided, however, that the Company shall not be required to preserve any such right, license or franchise, or the corporate, partnership or other existence of any Subsidiary, if the Board of Directors shall determine that the preservation thereof is no longer desirable in the conduct of the business of the Company and its Subsidiaries taken as a whole and that the loss thereof is not adverse in any material respect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and shall cause each of its Subsidiaries to, pay prior to delinquency all taxes, assessments and governmental levies, except as contested in good faith and by appropriate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Additional Interest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is required to pay additional interest to Holders of Securities pursuant to Section 6.02(b) hereof, the Company shall provide a direction or order in the form of a written notice to the Trustee (and if the Trustee is not the Paying Agent, the Paying Agent) of the Company’s obligation to pay such additional interest no later than [          ] Business Days prior to date on which any such additional interest is scheduled to be paid. Such notice shall set forth the amount of additional interest to be paid by the Company on such payment date and direct the Trustee (or, if the Trustee is not the Paying Agent, the Paying Agent) to make payment to the extent it receives funds from the Company to do so. The Trustee shall not at any time be under any duty or responsibility to any Holder to determine whether additional interest is payable, or with respect to the nature, extent, or calculation of the amount of additional interest owed, or with respect to the method employed in such calculation of additional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Further Instruments and 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execute and deliver such further instruments and do such further acts as may be reasonably necessary or proper to carry out more effectively the purposes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br/>
        <w:t>SUCCESSORS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When Company May Merge,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consolidate with, enter into a binding share exchange, or merge into any other Person in a transaction in which it is not the surviving entity, or sell, assign, convey, transfer or lease or otherwise dispose of all or substantially all of its properties and assets to any Person (a “successor person”),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successor person (if any) is a corporation, partnership, trust or other entity organized and validly existing under the laws of the Cayman Islands and expressly assumes by a supplemental indenture executed and delivered to the Trustee, in form satisfactory to the Trustee, the due and punctual payment of the principal of, and any interest on, all Securities and the performance or observance of every covenant of this Indenture on the part of the Company to be performed or observed;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the transaction, no Default or Event of Default, shall have occurred and be continuing;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delivered to the Trustee, prior to the consummation of the proposed transaction, an Officers’ Certificate to the foregoing effect and an Opinion of Counsel stating that the proposed transaction and such supplemental indenture comply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Successor Corporation Substituted.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or any sale, lease, conveyance or other disposition of all or substantially all of the assets of the Company in accordance with Section 5.01, the successor person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lease, conveyance or other disposition of all or substantially all of the assets of the Company shall not be released from the obligation to pay the principal of and interest, if any, on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 </w:t>
        <w:br/>
        <w:t>DEFAULTS AND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any principal of any Security of that Series at its Maturity;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deposit of any sinking fund payment, when and as due in respect of any Security of that Series;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fails to perform or comply with any of its other covenants or agreements contained in the Securities or in this Indenture (other than a covenant or agreement a default in whose performance or whose breach is specifically dealt with in clauses (a), (b) or (c) of this Section 6.01) and the default continues for 60 days after notice is given as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or any other payment obligation of, the Company or any Subsidiary (an “Instrument”) with a principal amount then, individually or in the aggregate, outstanding in excess of $[          ], whether such indebtedness now exists or shall hereafter be created, is not paid at Maturity or when otherwise due or is accelerated, and such indebtedness is not discharged, or such default in payment or acceleration is not cured or rescinded, within a period of 30 days after there shall have been given, by registered or certified mail, to the Company by the Trustee or to the Company and the Trustee by the Holders of at least [          ]% in aggregate principal amount of the outstanding Securities of that Series a written notice specifying such default and requiring the Company to cause such indebtedness to be discharged or cause such default to be cured or waived or such acceleration to be rescinded or annulled and stating that such notice is a “Notice of Default” hereunder. A payment obligation (other than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the Company or any Subsidiary) shall not be deemed to have matured, come due, or been accelerated to the extent that it is being disputed by the relevant obligor or obligors in good faith. For the avoidance of doubt, the Maturity of an Instrument is the Maturity as set forth in that Instrument, as it may be amended from time to time in accordance with the terms of that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or any Subsidiary fails to pay one or more final and non-appealable judgments entered by a court or courts of competent jurisdiction, the aggregate uninsured or unbonded portion of which is in excess of $[          ], if the judgments are not paid, discharged, waived or stayed within [          ]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or any Subsidiary of the Company, pursuant to or within the meaning of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entry of an order for relief against it in an involuntary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Custodian of it or for all or substantially all of its property;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its creditors;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or generally is unable to pay its debts as the same become due;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court of competent jurisdiction enters an order or decree under any Bankruptcy Law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Company or any of its Subsidiaries in an involuntary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Custodian of the Company or any of its Subsidiaries for all or substantially all of the property of the Company or any such Subsidiary;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liquidation of the Company or any of its Subsidiaries;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case of each of clause (i), (ii) and (iii), the order or decree remains unstayed and in effect for [          ] consecutive days;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other Event of Default provided with respect to Securities of that Series, which is specified in a Board Resolution, a supplemental indenture hereto or an Officers’ Certificate, in accordance with Section 2.02(i).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clause (d) above is not an Event of Default until the Trustee notifies the Company, or the Holders of at least [          ]% in aggregate principal amount of the Securities then outstanding notify the Company and the Trustee, in writing of the default, and the Company does not cure the default within 60 days after receipt of such notice. The notice given pursuant to this Section 6.01 must specify the default, demand that it be remedied and state that the notice is a “Notice of Default.” When any default under this Section 6.01 is cured, it ceases.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charged with knowledge of any Event of Default unless written notice thereof shall have been given to a Trust Officer at the Corporate Trust Office of the Trustee by the Company, a Paying Agent, any Holder or any agent of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Acceleration of Maturity; Rescission and Annulment.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(other than an Event of Default specified in clause (g) or (h) of Section 6.01) occurs and is continuing with respect to any Securities of any Series, then in every such case, the Trustee may, by notice to the Company, or the Holders of at least 25% in aggregate principal amount of the Securities of that Series (or, if any Securities of that Series are Discount Securities, such portion of the principal amount as may be specified in the terms of such Securities) then outstanding may, by notice to the Company and the Trustee, declare all unpaid principal of, and accrued and unpaid interest on to the date of acceleration, the Securities of that Series then outstanding (if not then due and payable) to be due and payable upon any such declaration, and the same shall become and be immediately due and payable. If an Event of Default specified in clause (g) or (h) of Section 6.01 occurs, all unpaid principal of the Securities then outstanding, and all accrued and unpaid interest thereon to the date of acceleration, shall ipso facto become and be immediately due and payable without any declaration or other act on the part of the Trustee or any Holder. The Holders of a majority in aggregate principal amount of the Securities of that Series then outstanding by notice to the Trustee may rescind an acceleration of such Securities of that Series and its consequences if (a) all existing Events of Default, other than the nonpayment of the principal of the Securities which has become due solely by such declaration of acceleration, have been cured or waived; (b) to the extent the payment of such interest is lawful, interest (calculated at the Default Rate) on overdue installments of interest and overdue principal, which has become due otherwise than by such declaration of acceleration, has been paid; (c) the rescission would not conflict with any judgment or decree of a court of competent jurisdiction; and (d) all payments due to the Trustee and any predecessor Trustee under Section 7.07 have been made. No such rescission shall affect any subsequent default or impair any right consequent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of provision of this Article 6, at the election of the Company in its sole discretion, the sole remedy under this Indenture for an Event of Default relating to the failure to comply with Section 4.02, and for any failure to comply with the requirements of Section 314(a)(1) of the TIA, will consist, for the 180 days after the occurrence of such an Event of Default, exclusively of the right to receive additional interest on the Securities at a rate equal to 0.50% per annum of the aggregate principal amount of the Securities then outstanding up to, but not including, the 181st day thereafter (or, if applicable, the earlier date on which the Event of Default relating to Section 4.02 is cured or waived). Any such additional interest will be payable in the same manner and on the same dates as the stated interest payable on the Securities. In no event shall additional interest accrue under the terms of this Indenture at a rate in excess of 0.50% per annum, in the aggregate, for any violation or default caused by the failure of the Company to be current in respect of its Exchange Act reporting obligations. If the Event of Default is continuing on the 181st day after an Event of Default relating to a failure to comply with Section 4.02, the Securities will be subject to acceleration as provided in this Section 6.02. The provisions of this Section 6.02(b) will not affect the rights of Holders in the event of the occurrence of any other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elect to pay additional interest as the sole remedy during the first 180 days after the occurrence of an Event of Default relating to the failure to comply with Section 4.02 in accordance with the immediately preceding paragraph, the Company shall notify all Holders and the Trustee and Paying Agent of such election on or before the close of business on the fifth Business Day after the date on which such Event of Default otherwise would occur. Upon a failure by the Company to timely give such notice or pay additional interest, the Securities will be immediately subject to acceleration as otherwise provided in this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Collection of Indebtedness and Suits for Enforcement by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in the payment of principal, interest, if any, specified in clause (a) or (b) of Section 6.01 occurs and is continuing, the Trustee may recover judgment in its own name and as trustee of an express trust against the Company or another obligor on the Securities for the whole amount of principal, and accrued interest remaining unpaid, if any, together with, to the extent that payment of such interest is lawful, interest on overdue principal, on overdue installments of interest, if any, in each case at the Default Rate,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Trustee May File Proofs of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Trustee May Enforce Claims Without Possession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Application of Money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the payment of all amounts due the Trustee under Section 7.07;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Limitation on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to institute any proceeding, judicial or otherwise, with respect to this Indenture, or for the appointment of a receiver or trustee, or for any other remedy hereunder (except actions for payment of overdue principal and interest),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written notice to the Trustee of a continuing Event of Default with respect to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not less than [          ]% in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Trustee indemnity satisfactory to it against the costs, expenses and liabilities to be incurred in compliance with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          ] days after its receipt of such notice, request and offer of indemnity has failed to institute any such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Trustee during such [          ]-day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Unconditional Right of Holders to Receive Principal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Restoration of Rights and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Rights and Remedies Cumulative.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with respect to the replacement or payment of mutilated, destroyed, lost or 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Delay or Omission Not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Control by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provisions of Section 6.01, the Trustee shall have the right to decline to follow any such direction if the Trustee in good faith shall, by a Responsible Officer of the Trustee, determine that the proceeding so directed would involve the Trustee in personal liability or would be unduly prejudicial to the rights of another Holder or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Waiver of Past Defaults.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9.02, 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Undertaking for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          ]%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 </w:t>
        <w:b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Duties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his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that are specifically set forth in this Indenture and no implied duties, covenants or obligations shall be deemed to be imposed upon the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on their face to the requirements of this Indenture.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liability for its own its own negligent action, its own negligent failure to act or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does not limit the effect of paragraph (b) of Section 7.01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provision of this Indenture that in any way relates to the Trustee is subject to paragraph (a), (b) and (c)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refuse to perform any duty or exercise any right or power unless it receives an indemnity satisfactory to it against any loss, liability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provision of this Indenture shall require the Trustee to risk or expend its own funds or otherwise incur liability, financial or otherwise, in the performance of any of its duties, or in the exercise of any of its rights or powers, if it shall have reasonable grounds for believing that repayment of such funds or indemnity satisfactory to it against such risk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Paying Agent, the Registrar and any authenticating agent shall be entitled to the same rights, indemnities, protections and immunities afforded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have no duty to monitor the performance or compliance of the Company with its obligations hereunder or any under supplement hereto, nor shall it have any liability in connection with the malfeasance or nonfeasance by the Company. The Trustee shall have no liability in connection with compliance by the Company with statutory or regulatory requirements related to this Indenture, any supplement or any Securities issued pursuant hereto 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Rights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and shall be fully protected in acting or refraining from acting as a result of its reasonable belief that any resolution, certificate, statement, instrument, opinion, report, notice, request, consent, order, direction, approval or other paper or document was genuine and had been signed or presented by the proper person. The Trustee need not investigate any fact or matter stated in the document, but the Trustee, in its discretion, may make such further inquiry or investigation into such facts or matters as it sees 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agents and shall not be responsible for the misconduct or negligence of, or for the supervision of, any agent appointed with due care. No Depository shall be deemed an agent of the Trustee and the Trustee shall not be responsible for any act or omission by any Depository.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believes to be authorized or within its rights or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be under no obligation to exercise any of the rights or powers vested in it by or pursuant to this Indenture at the request, order or direction of any of the Holders of Securities, unless such Holders shall have offered to the Trustee reasonable security or indemnity satisfactory to it against the costs, expenses and liabilities which might be incurred by it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Individual Rights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an Affiliate with the same rights it would have if it were not Trustee. Any Agent may do the same with like rights. The Trustee is also subject to Sections 7.10 and 7.11.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Trustee’s Disclaimer.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representation as to the validity or adequacy of this Indenture or the Securities and the recitals contained herein and in the Securities shall be taken as statements of the Company and not of the Trustee, and the Trustee has no responsibility for such recitals. The Trustee shall not be accountable for the Company’s use or application of the proceeds from the Securities or for monies paid over to the Company pursuant to this Indenture, and it shall not be responsible for any statement in the Securities other than its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Notice of Defaults.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occurs and is continuing with respect to the Securities of any Series and if a Responsible Officer of the Trustee has knowledge or receives written notice of such event, the Trustee shall mail to each Securityholder of the Securities of that Series, notice of a Default or Event of Default within [          ] days after it occurs or, if later, after a Responsible Officer of the Trustee has actual knowledge of such Default or Event of Default. Except in the case of a Default or Event of Default in payment of principal of or interest on any Security of any Series, including any additional interest that may become payable pursuant to Section 6.02(b), the Trustee may withhold the notice so long as the Trustee in good faith determines that withholding the notice is in the interests of Securityholders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Reports by Trustee to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          ] days after [          ] in each year, the Trustee shall transmit by mail to all Securityholders, as their names and addresses appear on the register kept by the Registrar, a brief report dated as of such [          ], in accordance with, and to the extent required under, TIA Section 313.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Compensation and Indemnity.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Trustee from time to time such compensation for its services as shall be agreed upon in writing. The Trustee’s compensation shall not be limited by any law on compensation of a trustee of an express trust. The Company shall reimburse the Trustee upon request for all reasonable out-of-pocket expenses, disbursements and advances incurred by it. Such expenses shall include the reasonable compensation and expenses of the Trustee’s agents, counsel and other persons not regularly in its employ.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defend and hold harmless the Trustee and its officers, directors, employees, representatives and agents, from and against and reimburse the Trustee for any and all claims, expenses, obligations, liabilities, losses, damages, injuries (to person, property, or natural resources), penalties, stamp or other similar taxes, actions, suits, judgments, reasonable costs and expenses (including reasonable attorney’s and agent’s fees and expenses) of whatever kind or nature regardless of their merit, demanded, asserted or claimed against the Trustee directly or indirectly relating to, or arising from, claims against the Trustee by reason of its participation in the transactions contemplated hereby, including without limitation all reasonable costs required to be associated with claims for damages to persons or property, and reasonable attorneys’ and consultants’ fees and expenses and court costs except to the extent caused by the Trustee’s negligence or willful misconduct. The provisions of this Section 7.07 shall survive the termination of this Agreement or the earlier resignation or removal of the Trustee. The Company shall defend any claim and the Trustee shall cooperate in the defense. The Trustee may have separate counsel and the Company shall pay the reasonable fees and expenses of such counsel. The Company need not pay for any settlement made without its consent, which consent shall not be unreasonably withheld or delayed. This indemnification shall apply to officers, directors, employees, shareholders and agents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need not reimburse any expense or indemnify against any loss liability incurred by the Trustee or by any officer, director, employee, shareholder or agent of the Trustee through negligence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the Trustee shall have a lien prior to the Securities of any Series on all money or property held or collected by the Trustee, except that held in trust to pay principal and interest on particular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6.01(f) or (g) occurs, the expenses and the compensation for the services are intended to constitute expenses of administration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Replacement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with respect to the Securities of one or more Series by so notifying the Company. The Holders of a majority in principal amount of the Securities of any Series may remove the Trustee with respect to that Series by so notifying the Trustee and the Company. The Company may remove the Trustee with respect to Securities of one or more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a bankrupt or an insolvent or an order for relief is entered with respect to the Trustee under any Bankruptcy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one or more Series does not take office within [          ] days after the retiring Trustee resigns or is removed, the retiring Trustee, the Company or the Holders of at least [          ]% in principal amount of the Securities of the applicable Series may petition any court of competent jurisdiction for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and subject to the payment of any and all amounts then due and owing to the retiring Trustee,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7.08, the Company’s obligations under Section 7.07 hereof shall continue for the benefit of the retiring trustee with respect to expenses and liabilities incurred by it prior to such replacement.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Successor Trustee by Merger,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the successor corporation without any further act shall be the successor Trustee with the same effect as if the successor Trustee had been named as the Trustee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Eligibility; Disqualification.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Section 310(a)(1), (2) and (5). The Trustee shall always have a combined capital and surplus of at least $[          ] as set forth in its most recent published annual report of condition. The Trustee shall comply with TIA Section 310(b).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Preferential Collection of Claims Against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TIA Section 311(a), excluding any creditor relationship listed in TIA Section 311(b). A Trustee who has resigned or been removed shall be subject to TTA Section 311(a) to the extent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w:t>
        <w:br/>
        <w:t>SATISFACTION AND DISCHARGE;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Satisfaction and Discharge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Order cease to be of further effect (except as hereinafter provided in this Section 8.01), and the Trustee, on the demand of and at the expense of the Company, shall execute proper instruments acknowledging satisfaction and discharge of this Indenture,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Securities theretofore authenticated and delivered (other than Securities that have been destroyed, lost or stolen and that have been replaced or paid) have been delivered to the Trustee for cancellation;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such Securities not theretofore delivered to the Trustee for cancellation have become due and payable,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have become due and payable,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 become due and payable at their Stated Maturity within [          ],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are to be called for redemption within [          ] under arrangements satisfactory to the Trustee for the giving of notice of redemption by the Trustee in the name, and at the expense, of the Company,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are deemed paid and discharged pursuant to section 8.03, as applicable; and the Company, in the case of (1), (2) or (3) above, has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paid or caused to be paid all other sums payable hereunder by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meeting the applicable requirements of Sections 10.04 and 10.05 and each stating that all conditions precedent herein relating to the satisfaction and discharge of this Indenture have been complied with and the Trustee receives written demand from the Company to 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to the Trustee under Section 7.07, and, if money shall have been deposited with the Trustee pursuant to clause (a) of this Section, the provisions of Sections 2.04, 2.07, 2.08, 8.01 8.02 and 8.05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Application of Trust Funds;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8.03 or 8.04.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pay and shall indemnify the Trustee and the Agents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in accordance with the terms of this Indenture, deliver or pay to the Company from time to time, upon Company Request and at the expense of the Company any U.S. Government Obligations or Foreign Government Obligations or money held by it pursuant to this Indenture as provided in Sections 8.03 or 8.04 which, in the opinion of a nationally recognized firm of independent certified public accountants, expressed in a written certification thereof and delivered to the Trustee together with such Company Request,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Legal Defeasance of Securities of any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8.03 is otherwise specified, pursuant to Section 2.02(s), to be inapplicable to Securities of any Series, the Company shall be deemed to have paid and discharged the entire indebtedness on all the outstanding Securities of such Series on the [          ]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Sections 2.04, 2.07, 2.08, 2.14, 8.02, 8.03 and 8.05;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 and immunities of the Trustee hereunder; provided that,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deposited or caused to be deposited irrevocably with the Paying Agent as trust funds in trust for the purpose of making the following payments, specifically pledged as security for and dedicated solely to the benefit of the Holders of such Securities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public accountants expressed in a written certification thereof delivered to the Trustee and the Paying Agent, to pay and discharge each installment of principal (including mandatory sinking fund or analogous payments) of and interest, if any, on all the Securities of such Series on the dates such installments of interest or principal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Default or Event of Default with respect to the Securities of such Series shall have occurred and be continuing on the date of such deposit or during the period ending on the [          ] day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deposit shall not result in the trust arising from such deposit constituting an investment company (as defined in the Investment Company Act of 1940, as amended), or such trust shall be qualified under such Act or exempt from regulation thereunder;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have delivered to the Trustee an Officers’ Certificate and an Opinion of Counsel, each stating that all conditions precedent provided for relating to the defeasance contemplated by this Section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Covenant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8.04 is otherwise specified pursuant to Section 2.02(s) to be inapplicable to Securities of any Series, on and after the [          ] day after the date of the deposit referred to in subparagraph (a) hereof, the Company may omit to comply with any term, provision or condition set forth under Sections 4.02, 4.03, 4.04, 4.05, 4.06, and 5.01 as well as any additional covenants contained in a supplemental indenture hereto for a particular Series of Securities or a Board Resolution or an Officers’ Certificate delivered pursuant to Section 2.02(s) (and the failure to comply with any such covenants shall not constitute a Default or Event of Default under Section 6.01) and the occurrence of any event described in clause (e) of Section 6.01 shall not constitute a Default or Event of Default hereunder, with respect to the Securities of such Series, provided that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8.04, the Company has deposited or caused to be irrevocably deposited (except as provided in Section 8.02(c)) with the Paying Agent as trust funds in trust, specifically pledged as security for, and dedicated solely to, the benefit of the Holders of such Securities (i)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certified public accountants expressed in a written certification thereof delivered to the Paying Agent, to pay principal and interest, if any, on and any mandatory sinking fund in respect of the Securities of such Series on the dates such installments of interest or principal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 or during the period ending on the [          ] day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delivered to the Trustee an Opinion of Counsel confirming that Holders of the Securities of such Series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delivered to the Trustee an Officers’ Certificate and an Opinion of Counsel, each stating that all conditions precedent herein provided for relating to the defeasance contemplated by this Section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Repayment to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all liability of the Paying Agent with respect to that money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br/>
        <w:t>AMENDMENTS AND WAIVERS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Without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amend or supplement this Indenture or the Securities of one or more Series without the consent of any Securityholder: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make any change that does not adversely affect the rights of any Securityholder;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provide for the issuance of and establish the form and terms and conditions of Securities of any Series as permitted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comply with requirements of the TIA and any rules promulgated under the TIA;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add to the covenants of the Company for the equal and ratable benefit of the Holders or to surrender any right, power or option conferred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supplement made solely to conform the provisions of this Indenture or the Securities of any Series to the description thereof contained in the final prospectus relating to such Series will be deemed not to adversely affect the rights of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With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enter into a supplemental indenture with the written consent of the Holders of at least a majority in principal amount of the outstanding Securities of all Series affected by such supplemental indenture, taken together as one class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all Series affected by such waiver by notice to the Trustee, taken together as one class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Securityholder affected, an amendment or waiver may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amount of Securities whose Holders must consent to an amendment, supplement or waiver, except to increase any such amount or to provide that certain provisions of this Indenture cannot be modified, amended or waived without the consent of the Holder of each outstanding Security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amount of interest, or change the interest payment time, on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waive a redemption payment or alter the redemption provisions (other than any alteration that would not materially adversely affect the legal rights of any Holder under this Indenture) or the price at which the Company is required to offer to purchase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principal or change the Stated Maturity of any Security or reduce the amount of, or postpone the date fixed for, the payment of any sinking fund or analogous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principal amount payable of any Security upon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the place or currency of payment of principal of or interest, if any, on any Security other than that stated in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 the right of any Holder to receive payment of principal or, or interest on, the Securities of such Holder on or after the due dates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impair the right to institute suit for the enforcement of any payment on, or with respect to,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make any change in Sections 10.15 or 10.16;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change the ranking of the Securities;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make any other change which is specified in a Board Resolution, a supplemental indenture hereto or an Officers’ Certificate as a limitation under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amendment or waiver shall always be subject to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Compliance with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this Indenture or the Securities of one or more Series shall be set forth in a supplemental indenture hereto that complies with the TIA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Revocation and Effect of Consents.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the amendment or waiver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waiver once effective shall bind every Securityholder of each Series affected by such amendment or waiver unless it is of the type described in any of clauses (a) through (g) of Section 9.03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Notation on or Exchange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amendment, supplement or waiver changes the terms of a Security, the Trustee may require the Holder of the Security to deliver it to the Trustee and the Trustee may place an appropriate notation on the Security about the changed terms and return it to the Holder. Alternatively, if the Company or the Trustee so determines, the Company shall issue and the Trustee shall authenticate upon request new Securities of that Series that reflect the changed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 Trustee Protected.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or the modifications thereby of the trusts created by this Indenture, the Trustee shall be entitled to receive, and (subject to Section 7.01) shall be fully protected in relying upon, an Opinion of Counsel or an Officer’s Certificate, or both stating that the execution of such supplemental indenture is authorized or permitted by this Indenture. The Trustee shall sign all supplemental indentures, except that the Trustee need not sign any supplemental indenture that adversely affects its rights, duties or indemnities.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 Effect of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under this Article, this Indenture shall be modified in accordance therewith, and each such supplemental indenture shall form part of this Indenture for all purposes with respect to the relevant Series; and every Holder of Securities of the relevant Series theretofore or thereafter authenticated and delivered hereunder shall be bound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Trust Indenture Act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limits, qualifies, or conflicts with another provision which is required or deemed to be included in this Indenture by the TIA, such required or deemed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the Trustee, the Paying Agent or the Registrar to another is duly given if in writing and delivered in person or mailed by first-class 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420" w:right="0" w:firstLine="4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                ]</w:t>
      </w:r>
    </w:p>
    <w:p>
      <w:pPr>
        <w:pStyle w:val="TextBody"/>
        <w:bidi w:val="0"/>
        <w:spacing w:before="0" w:after="0"/>
        <w:ind w:left="420" w:right="0" w:firstLine="4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420" w:right="0" w:firstLine="4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Registrar or Paying Agent:</w:t>
      </w:r>
    </w:p>
    <w:p>
      <w:pPr>
        <w:pStyle w:val="TextBody"/>
        <w:bidi w:val="0"/>
        <w:spacing w:before="0" w:after="0"/>
        <w:ind w:left="420" w:right="0" w:firstLine="4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                ]</w:t>
      </w:r>
    </w:p>
    <w:p>
      <w:pPr>
        <w:pStyle w:val="TextBody"/>
        <w:bidi w:val="0"/>
        <w:spacing w:before="0" w:after="0"/>
        <w:ind w:left="420" w:right="0" w:firstLine="4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Trustee and each Agent by notice to each other may designate additional or different addresses for subsequent notices or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published in the manner provided above, within the time prescribed, it is duly given, whether or not the Securityholder receives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mails a notice or communication to Securityholders, it will mail a copy to the Trustee and each Agent at the same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 notice is required to be given by the Company, such notice may be given by the Trustee or Registrar on the Company’s behalf (and the Company will make any notice it is required to give to Holders available on its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Communication by Holders with Other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any Series may communicate pursuant to TIA Section 312(b) with other Securityholders of that Series or any other Series with respect to their rights under this Indenture or the Securities of that Series or all Series. The Company, the Trustee, the Registrar and anyone else shall have the protection of TIA Section 312(c).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Certificate and Opinion as to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counsel, all such conditions precedent (including any covenants, compliance with which constitutes a condition precedent)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Statements Required in Certificate 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a certificate provided pursuant to TIA Section 314(a)(4)) shall comply with the provisions of TIA Section 314(e) and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Record Date for Vote or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in the event deposits have been made pursuant to Section 11.02, the Trustee) may set a record date for purposes of determining the identity of Holders entitled to vote or consent to any action by vote or consent authorized or permitted under this Indenture, which record date shall not be more than [         ] days prior to the date of the commencement of solicitation of such action. Notwithstanding the provisions of Section 9.05, if a record date is fixed, those persons who were Holders of Securities at the close of business on such record date (or their duly designated proxies), and only those persons, shall be entitled to take such action by vote or consent or to revoke any vote or consent previously given, whether or not such persons continue to be Holders after such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 Rules by Trustee and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 meeting of Securityholders of one or more Series. Any Agent may make reasonable rules and set reasonable requirements for its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Legal Holidays.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Board Resolution, Officers’ Certificate or supplemental indenture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 No Recourse Against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officer, employee or shareholder,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and by the parties hereto in separate counterparts, each of which when so executed shall be deemed to be an original and all of which taken together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Governing Laws and Submission to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SHALL BE GOVERNED BY THE LAWS OF THE STATE OF NEW YORK EXCLUDING ANY RULE OF LAW THAT WOULD CAUSE THE APPLICATION OF THE LAWS OF ANY JURISDICTION OTHER THAN THE STATE OF NEW YORK.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that any legal suit, action or proceeding arising out of or based upon this Indenture may be instituted in any federal or state court sitting in New York City, and, to the fullest extent permitted by law, waives any objection which it may now or hereafter have to the laying of venue of any such proceeding, and irrevocably submits to the non-exclusive jurisdiction of such court in any suit, action or proceeding. The Company, as long as any Securities remain outstanding or the parties hereto have any obligation under this Indenture, shall have an authorized agent in the United States upon whom process may be served in any such legal action or proceeding. Service of process upon such agent and written notice of such service mailed or delivered to it shall to the extent permitted by law be deemed in every respect effective service of process upon it in any such legal action or proceeding and, if it fails to maintain such agent, any such process or summons may be served by mailing a copy thereof by registered mail, or a form of mail substantially equivalent thereto, addressed to it at its address as provided for notices hereunder. The Company hereby appoints Jun He Law Offices LLC, 45 Rockefeller Plaza, Suite 1919, New York, NY 10111, as its agent for such purposes, and covenants and agrees that service of process in any legal action or proceeding may be made upon it at such office of such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No Adverse Interpretation of Other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or debt agreement of the Company or a Subsidiary. Any such indenture, loan or debt agreement may not be used to interpret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Securities shall bind its successor. All agreements of the Trustee in this Indenture shall bind its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 Severability.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 Table of Contents, Headings,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 Securities in a Foreign Currency or in ECU.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Board Resolution, a supplemental indenture hereto or an 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10.16,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Company and all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 Judgment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10.18. Compliance with Applicable Anti-Terrorism and Money Laundering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laws, rules, regulations and executive orders in effect from time to time applicable to banking institutions, including those relating to the funding of terrorist activities and money laundering (“Applicable Law”), the Trustee is required to obtain, verify and record certain information relating to individuals and entities which maintain a business relationship with the Trustee. Accordingly, each of the parties agree to provide to the Trustee, upon its request from time to time such identifying information and documentation as may be available for such party in order to enable the Trustee to comply with the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br/>
        <w:t>SINKING FUNDS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Applicability of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shall be applicable to any sinking fund for the retirement of the Securities of a Series, except as otherwise permitted or required by any form of Security of such Series issued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Satisfaction of Sinking Fund Payments with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Registrar, together with an Officers’ Certificate with respect thereto, not later than [         ] days prior to the date on which the Registrar begins the process of selecting Securities for redemption, and shall be credited for such purpose by the Registrar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         ], the Registrar need not call Securities of such Series for redemption, except upon receipt of a Company Order that such action be taken, and such cash payment shall be held by the Paying Agent and applied to the next succeeding sinking fund payment, provided, however, that the Paying Agent shall from time to time upon receipt of a Company Order pay over and deliver to the Company any cash payment so being held by the Paying Agent upon delivery by the Company to the Registrar of Securities of that Series purchased by the Company having an unpaid principal amount equal to the cash payment required to be released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Redemption of Securities for 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         ] days (unless otherwise indicated in the Board Resolution, supplemental indenture hereto or Officers’ Certificate in respect of a particular Series of Securities) prior to each sinking fund payment date for any Series of Securities, the Company will deliver to the Trustee and the Paying Agent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         ]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stated in Sections 3.04, 3.05 and 3.06.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is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firstLine="800"/>
        <w:jc w:val="left"/>
        <w:rPr>
          <w:caps w:val="false"/>
          <w:smallCaps w:val="false"/>
        </w:rPr>
      </w:pPr>
      <w:r>
        <w:rPr>
          <w:caps w:val="false"/>
          <w:smallCaps w:val="false"/>
        </w:rPr>
        <w:t> </w:t>
      </w:r>
    </w:p>
    <w:tbl>
      <w:tblPr>
        <w:tblW w:w="3169" w:type="dxa"/>
        <w:jc w:val="left"/>
        <w:tblInd w:w="0" w:type="dxa"/>
        <w:tblLayout w:type="fixed"/>
        <w:tblCellMar>
          <w:top w:w="0" w:type="dxa"/>
          <w:left w:w="0" w:type="dxa"/>
          <w:bottom w:w="0" w:type="dxa"/>
          <w:right w:w="0" w:type="dxa"/>
        </w:tblCellMar>
      </w:tblPr>
      <w:tblGrid>
        <w:gridCol w:w="778"/>
        <w:gridCol w:w="2316"/>
        <w:gridCol w:w="75"/>
      </w:tblGrid>
      <w:tr>
        <w:trPr/>
        <w:tc>
          <w:tcPr>
            <w:tcW w:w="309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INTERCONT(CAYMAN) LIMITED</w:t>
            </w:r>
          </w:p>
        </w:tc>
        <w:tc>
          <w:tcPr>
            <w:tcW w:w="75" w:type="dxa"/>
            <w:tcBorders/>
            <w:vAlign w:val="center"/>
          </w:tcPr>
          <w:p>
            <w:pPr>
              <w:pStyle w:val="TableContents"/>
              <w:bidi w:val="0"/>
              <w:spacing w:before="0" w:after="283"/>
              <w:jc w:val="left"/>
              <w:rPr/>
            </w:pPr>
            <w:r>
              <w:rPr/>
              <w:t> </w:t>
            </w:r>
          </w:p>
        </w:tc>
      </w:tr>
      <w:tr>
        <w:trPr/>
        <w:tc>
          <w:tcPr>
            <w:tcW w:w="30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16"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1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231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100" w:type="dxa"/>
        <w:jc w:val="left"/>
        <w:tblInd w:w="0" w:type="dxa"/>
        <w:tblLayout w:type="fixed"/>
        <w:tblCellMar>
          <w:top w:w="0" w:type="dxa"/>
          <w:left w:w="0" w:type="dxa"/>
          <w:bottom w:w="0" w:type="dxa"/>
          <w:right w:w="0" w:type="dxa"/>
        </w:tblCellMar>
      </w:tblPr>
      <w:tblGrid>
        <w:gridCol w:w="605"/>
        <w:gridCol w:w="420"/>
        <w:gridCol w:w="75"/>
      </w:tblGrid>
      <w:tr>
        <w:trPr/>
        <w:tc>
          <w:tcPr>
            <w:tcW w:w="10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75" w:type="dxa"/>
            <w:tcBorders/>
            <w:vAlign w:val="center"/>
          </w:tcPr>
          <w:p>
            <w:pPr>
              <w:pStyle w:val="TableContents"/>
              <w:bidi w:val="0"/>
              <w:spacing w:before="0" w:after="283"/>
              <w:jc w:val="left"/>
              <w:rPr/>
            </w:pPr>
            <w:r>
              <w:rPr/>
              <w:t> </w:t>
            </w:r>
          </w:p>
        </w:tc>
      </w:tr>
      <w:tr>
        <w:trPr/>
        <w:tc>
          <w:tcPr>
            <w:tcW w:w="10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c>
          <w:tcPr>
            <w:tcW w:w="75" w:type="dxa"/>
            <w:tcBorders/>
            <w:vAlign w:val="center"/>
          </w:tcPr>
          <w:p>
            <w:pPr>
              <w:pStyle w:val="TableContents"/>
              <w:bidi w:val="0"/>
              <w:spacing w:before="0" w:after="283"/>
              <w:jc w:val="left"/>
              <w:rPr/>
            </w:pPr>
            <w:r>
              <w:rPr/>
              <w:t> </w:t>
            </w:r>
          </w:p>
        </w:tc>
      </w:tr>
      <w:tr>
        <w:trPr/>
        <w:tc>
          <w:tcPr>
            <w:tcW w:w="10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4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605"/>
        <w:gridCol w:w="60"/>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1197"/>
        <w:gridCol w:w="1282"/>
        <w:gridCol w:w="75"/>
      </w:tblGrid>
      <w:tr>
        <w:trPr/>
        <w:tc>
          <w:tcPr>
            <w:tcW w:w="24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75" w:type="dxa"/>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Registrar and Paying Agent</w:t>
            </w:r>
          </w:p>
        </w:tc>
        <w:tc>
          <w:tcPr>
            <w:tcW w:w="75" w:type="dxa"/>
            <w:tcBorders/>
            <w:vAlign w:val="center"/>
          </w:tcPr>
          <w:p>
            <w:pPr>
              <w:pStyle w:val="TableContents"/>
              <w:bidi w:val="0"/>
              <w:spacing w:before="0" w:after="283"/>
              <w:jc w:val="left"/>
              <w:rPr/>
            </w:pPr>
            <w:r>
              <w:rPr/>
              <w:t> </w:t>
            </w:r>
          </w:p>
        </w:tc>
      </w:tr>
      <w:tr>
        <w:trPr/>
        <w:tc>
          <w:tcPr>
            <w:tcW w:w="24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282"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8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128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80" w:type="dxa"/>
        <w:jc w:val="left"/>
        <w:tblInd w:w="0" w:type="dxa"/>
        <w:tblLayout w:type="fixed"/>
        <w:tblCellMar>
          <w:top w:w="0" w:type="dxa"/>
          <w:left w:w="0" w:type="dxa"/>
          <w:bottom w:w="0" w:type="dxa"/>
          <w:right w:w="0" w:type="dxa"/>
        </w:tblCellMar>
      </w:tblPr>
      <w:tblGrid>
        <w:gridCol w:w="605"/>
        <w:gridCol w:w="900"/>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0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9696801ex4-6.htm"/>
      <w:bookmarkStart w:id="30" w:name="ksea029696801ex46"/>
      <w:bookmarkEnd w:id="29"/>
      <w:bookmarkEnd w:id="30"/>
      <w:r>
        <w:rPr>
          <w:rFonts w:ascii="Times New Roman;Times;Serif" w:hAnsi="Times New Roman;Times;Serif"/>
          <w:b/>
          <w:i w:val="false"/>
          <w:caps w:val="false"/>
          <w:smallCaps w:val="false"/>
          <w:sz w:val="20"/>
        </w:rPr>
        <w:t>Exhibit 4.6</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INTERCONT(CAYMAN)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034" w:type="dxa"/>
        <w:jc w:val="left"/>
        <w:tblInd w:w="0" w:type="dxa"/>
        <w:tblLayout w:type="fixed"/>
        <w:tblCellMar>
          <w:top w:w="0" w:type="dxa"/>
          <w:left w:w="0" w:type="dxa"/>
          <w:bottom w:w="0" w:type="dxa"/>
          <w:right w:w="0" w:type="dxa"/>
        </w:tblCellMar>
      </w:tblPr>
      <w:tblGrid>
        <w:gridCol w:w="1825"/>
        <w:gridCol w:w="5499"/>
        <w:gridCol w:w="710"/>
      </w:tblGrid>
      <w:tr>
        <w:trPr/>
        <w:tc>
          <w:tcPr>
            <w:tcW w:w="1825" w:type="dxa"/>
            <w:tcBorders/>
            <w:vAlign w:val="center"/>
          </w:tcPr>
          <w:p>
            <w:pPr>
              <w:pStyle w:val="TableContents"/>
              <w:bidi w:val="0"/>
              <w:spacing w:before="0" w:after="283"/>
              <w:jc w:val="left"/>
              <w:rPr/>
            </w:pPr>
            <w:r>
              <w:rPr/>
              <w:t> </w:t>
            </w:r>
          </w:p>
        </w:tc>
        <w:tc>
          <w:tcPr>
            <w:tcW w:w="5499" w:type="dxa"/>
            <w:tcBorders/>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PAGE</w:t>
            </w:r>
          </w:p>
        </w:tc>
      </w:tr>
      <w:tr>
        <w:trPr/>
        <w:tc>
          <w:tcPr>
            <w:tcW w:w="7324" w:type="dxa"/>
            <w:gridSpan w:val="2"/>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I DEFINITIONS AND INCORPORATION BY REFERENCE</w:t>
            </w:r>
          </w:p>
        </w:tc>
        <w:tc>
          <w:tcPr>
            <w:tcW w:w="710" w:type="dxa"/>
            <w:tcBorders/>
            <w:shd w:fill="CCEEFF" w:val="clear"/>
            <w:vAlign w:val="center"/>
          </w:tcPr>
          <w:p>
            <w:pPr>
              <w:pStyle w:val="TableContents"/>
              <w:bidi w:val="0"/>
              <w:spacing w:before="0" w:after="283"/>
              <w:jc w:val="center"/>
              <w:rPr/>
            </w:pPr>
            <w:r>
              <w:rPr/>
              <w:t>1</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Definitions.</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1.02.</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Definitions.</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1.03.</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Incorporation by Reference of Trust Indenture Act.</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1.04.</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Rules of Construction.</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1825" w:type="dxa"/>
            <w:tcBorders/>
            <w:shd w:fill="FFFFFF" w:val="clear"/>
            <w:vAlign w:val="center"/>
          </w:tcPr>
          <w:p>
            <w:pPr>
              <w:pStyle w:val="TableContents"/>
              <w:bidi w:val="0"/>
              <w:spacing w:before="0" w:after="283"/>
              <w:jc w:val="left"/>
              <w:rPr/>
            </w:pPr>
            <w:r>
              <w:rPr/>
              <w:t> </w:t>
            </w:r>
          </w:p>
        </w:tc>
        <w:tc>
          <w:tcPr>
            <w:tcW w:w="5499"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 </w:t>
            </w:r>
          </w:p>
        </w:tc>
      </w:tr>
      <w:tr>
        <w:trPr/>
        <w:tc>
          <w:tcPr>
            <w:tcW w:w="7324" w:type="dxa"/>
            <w:gridSpan w:val="2"/>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II THE SECURITIES</w:t>
            </w:r>
          </w:p>
        </w:tc>
        <w:tc>
          <w:tcPr>
            <w:tcW w:w="710" w:type="dxa"/>
            <w:tcBorders/>
            <w:shd w:fill="CCEEFF" w:val="clear"/>
            <w:vAlign w:val="center"/>
          </w:tcPr>
          <w:p>
            <w:pPr>
              <w:pStyle w:val="TableContents"/>
              <w:bidi w:val="0"/>
              <w:spacing w:before="0" w:after="283"/>
              <w:jc w:val="center"/>
              <w:rPr/>
            </w:pPr>
            <w:r>
              <w:rPr/>
              <w:t>5</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2.01.</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Issuable in Series.</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2.02.</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Establishment of Terms of Series of Securities.</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2.03.</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Execution and Authentication.</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2.04.</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Registrar and Paying Agent.</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2.05.</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Paying Agent to Hold Money in Trust.</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2.06.</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Securityholder Lists.</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2.07.</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and Exchange.</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2.08.</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Mutilated, Destroyed, Lost and Stolen Securities.</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2.09.</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Securities.</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2.10.</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Securities.</w:t>
            </w:r>
          </w:p>
        </w:tc>
        <w:tc>
          <w:tcPr>
            <w:tcW w:w="710" w:type="dxa"/>
            <w:tcBorders/>
            <w:shd w:fill="CCEEFF" w:val="clear"/>
            <w:vAlign w:val="center"/>
          </w:tcPr>
          <w:p>
            <w:pPr>
              <w:pStyle w:val="TableContents"/>
              <w:bidi w:val="0"/>
              <w:spacing w:before="0" w:after="283"/>
              <w:jc w:val="center"/>
              <w:rPr/>
            </w:pPr>
            <w:r>
              <w:rPr/>
              <w:t>10</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2.11.</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Temporary Securities.</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2.12.</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Cancellation.</w:t>
            </w:r>
          </w:p>
        </w:tc>
        <w:tc>
          <w:tcPr>
            <w:tcW w:w="710" w:type="dxa"/>
            <w:tcBorders/>
            <w:shd w:fill="CCEEFF" w:val="clear"/>
            <w:vAlign w:val="center"/>
          </w:tcPr>
          <w:p>
            <w:pPr>
              <w:pStyle w:val="TableContents"/>
              <w:bidi w:val="0"/>
              <w:spacing w:before="0" w:after="283"/>
              <w:jc w:val="center"/>
              <w:rPr/>
            </w:pPr>
            <w:r>
              <w:rPr/>
              <w:t>11</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2.13.</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Defaulted Interest.</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2.14.</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Global Securities.</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2.15.</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CUSIP Numbers.</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r>
      <w:tr>
        <w:trPr/>
        <w:tc>
          <w:tcPr>
            <w:tcW w:w="1825" w:type="dxa"/>
            <w:tcBorders/>
            <w:shd w:fill="CCEEFF" w:val="clear"/>
            <w:vAlign w:val="center"/>
          </w:tcPr>
          <w:p>
            <w:pPr>
              <w:pStyle w:val="TableContents"/>
              <w:bidi w:val="0"/>
              <w:spacing w:before="0" w:after="283"/>
              <w:jc w:val="left"/>
              <w:rPr/>
            </w:pPr>
            <w:r>
              <w:rPr/>
              <w:t> </w:t>
            </w:r>
          </w:p>
        </w:tc>
        <w:tc>
          <w:tcPr>
            <w:tcW w:w="5499"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 </w:t>
            </w:r>
          </w:p>
        </w:tc>
      </w:tr>
      <w:tr>
        <w:trPr/>
        <w:tc>
          <w:tcPr>
            <w:tcW w:w="7324" w:type="dxa"/>
            <w:gridSpan w:val="2"/>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III REDEMPTION</w:t>
            </w:r>
          </w:p>
        </w:tc>
        <w:tc>
          <w:tcPr>
            <w:tcW w:w="710" w:type="dxa"/>
            <w:tcBorders/>
            <w:shd w:fill="FFFFFF" w:val="clear"/>
            <w:vAlign w:val="center"/>
          </w:tcPr>
          <w:p>
            <w:pPr>
              <w:pStyle w:val="TableContents"/>
              <w:bidi w:val="0"/>
              <w:spacing w:before="0" w:after="283"/>
              <w:jc w:val="center"/>
              <w:rPr/>
            </w:pPr>
            <w:r>
              <w:rPr/>
              <w:t>13</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3.01.</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to Trustee.</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3.02.</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Selection of Securities to be Redeemed.</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3.03.</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of Redemption.</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3.04.</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Notice of Redemption.</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3.05.</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 of Redemption Price.</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3.06.</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Redeemed in Part.</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1825" w:type="dxa"/>
            <w:tcBorders/>
            <w:shd w:fill="CCEEFF" w:val="clear"/>
            <w:vAlign w:val="center"/>
          </w:tcPr>
          <w:p>
            <w:pPr>
              <w:pStyle w:val="TableContents"/>
              <w:bidi w:val="0"/>
              <w:spacing w:before="0" w:after="283"/>
              <w:jc w:val="left"/>
              <w:rPr/>
            </w:pPr>
            <w:r>
              <w:rPr/>
              <w:t> </w:t>
            </w:r>
          </w:p>
        </w:tc>
        <w:tc>
          <w:tcPr>
            <w:tcW w:w="5499"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 </w:t>
            </w:r>
          </w:p>
        </w:tc>
      </w:tr>
      <w:tr>
        <w:trPr/>
        <w:tc>
          <w:tcPr>
            <w:tcW w:w="7324" w:type="dxa"/>
            <w:gridSpan w:val="2"/>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IV COVENANTS</w:t>
            </w:r>
          </w:p>
        </w:tc>
        <w:tc>
          <w:tcPr>
            <w:tcW w:w="710" w:type="dxa"/>
            <w:tcBorders/>
            <w:shd w:fill="FFFFFF" w:val="clear"/>
            <w:vAlign w:val="center"/>
          </w:tcPr>
          <w:p>
            <w:pPr>
              <w:pStyle w:val="TableContents"/>
              <w:bidi w:val="0"/>
              <w:spacing w:before="0" w:after="283"/>
              <w:jc w:val="center"/>
              <w:rPr/>
            </w:pPr>
            <w:r>
              <w:rPr/>
              <w:t>14</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4.01.</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Principal and Interest.</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4.02.</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 Reports.</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4.03.</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Certificate.</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4.04.</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Stay, Extension and Usury Laws.</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4.05.</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Existence.</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4.06.</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4.07.</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Interest Notice.</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4.08.</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Further Instruments and Acts.</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7324" w:type="dxa"/>
            <w:gridSpan w:val="2"/>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 </w:t>
            </w:r>
          </w:p>
        </w:tc>
      </w:tr>
      <w:tr>
        <w:trPr/>
        <w:tc>
          <w:tcPr>
            <w:tcW w:w="7324" w:type="dxa"/>
            <w:gridSpan w:val="2"/>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V SUCCESSORS</w:t>
            </w:r>
          </w:p>
        </w:tc>
        <w:tc>
          <w:tcPr>
            <w:tcW w:w="710" w:type="dxa"/>
            <w:tcBorders/>
            <w:shd w:fill="FFFFFF" w:val="clear"/>
            <w:vAlign w:val="center"/>
          </w:tcPr>
          <w:p>
            <w:pPr>
              <w:pStyle w:val="TableContents"/>
              <w:bidi w:val="0"/>
              <w:spacing w:before="0" w:after="283"/>
              <w:jc w:val="center"/>
              <w:rPr/>
            </w:pPr>
            <w:r>
              <w:rPr/>
              <w:t>16</w:t>
            </w:r>
          </w:p>
        </w:tc>
      </w:tr>
      <w:tr>
        <w:trPr/>
        <w:tc>
          <w:tcPr>
            <w:tcW w:w="1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5.01.</w:t>
            </w:r>
          </w:p>
        </w:tc>
        <w:tc>
          <w:tcPr>
            <w:tcW w:w="5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When Company May Merge, Etc.</w:t>
            </w:r>
          </w:p>
        </w:tc>
        <w:tc>
          <w:tcPr>
            <w:tcW w:w="7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r>
      <w:tr>
        <w:trPr/>
        <w:tc>
          <w:tcPr>
            <w:tcW w:w="1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5.02.</w:t>
            </w:r>
          </w:p>
        </w:tc>
        <w:tc>
          <w:tcPr>
            <w:tcW w:w="5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Successor Corporation Substituted.</w:t>
            </w:r>
          </w:p>
        </w:tc>
        <w:tc>
          <w:tcPr>
            <w:tcW w:w="71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085" w:type="dxa"/>
        <w:jc w:val="left"/>
        <w:tblInd w:w="0" w:type="dxa"/>
        <w:tblLayout w:type="fixed"/>
        <w:tblCellMar>
          <w:top w:w="0" w:type="dxa"/>
          <w:left w:w="0" w:type="dxa"/>
          <w:bottom w:w="0" w:type="dxa"/>
          <w:right w:w="0" w:type="dxa"/>
        </w:tblCellMar>
      </w:tblPr>
      <w:tblGrid>
        <w:gridCol w:w="1610"/>
        <w:gridCol w:w="6200"/>
        <w:gridCol w:w="275"/>
      </w:tblGrid>
      <w:tr>
        <w:trPr/>
        <w:tc>
          <w:tcPr>
            <w:tcW w:w="7810" w:type="dxa"/>
            <w:gridSpan w:val="2"/>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VI DEFAULTS AND REMEDIES</w:t>
            </w:r>
          </w:p>
        </w:tc>
        <w:tc>
          <w:tcPr>
            <w:tcW w:w="275" w:type="dxa"/>
            <w:tcBorders/>
            <w:shd w:fill="CCEEFF" w:val="clear"/>
            <w:vAlign w:val="center"/>
          </w:tcPr>
          <w:p>
            <w:pPr>
              <w:pStyle w:val="TableContents"/>
              <w:bidi w:val="0"/>
              <w:spacing w:before="0" w:after="283"/>
              <w:jc w:val="center"/>
              <w:rPr/>
            </w:pPr>
            <w:r>
              <w:rPr/>
              <w:t>17</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6.01.</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Events of Default.</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6.02.</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Acceleration of Maturity; Rescission and Annulment.</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6.03.</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Collection of Indebtedness and Suits for Enforcement by Trustee.</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6.04.</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 May File Proofs of Claim.</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6.05.</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 May Enforce Claims Without Possession of Securities.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6.06.</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 of Money Collected.</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6.07.</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Limitation on Suits.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6.08.</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Unconditional Right of Holders to Receive Principal and Interest.</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6.09.</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Restoration of Rights and Remedies.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6.10.</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Rights and Remedies Cumulative.</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6.11.</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Delay or Omission Not Waiver.</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6.12.</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Control by Holders.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6.13.</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Past Defaults.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6.14.</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Undertaking for Costs.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r>
      <w:tr>
        <w:trPr/>
        <w:tc>
          <w:tcPr>
            <w:tcW w:w="1610" w:type="dxa"/>
            <w:tcBorders/>
            <w:shd w:fill="FFFFFF" w:val="clear"/>
            <w:vAlign w:val="center"/>
          </w:tcPr>
          <w:p>
            <w:pPr>
              <w:pStyle w:val="TableContents"/>
              <w:bidi w:val="0"/>
              <w:spacing w:before="0" w:after="283"/>
              <w:jc w:val="left"/>
              <w:rPr/>
            </w:pPr>
            <w:r>
              <w:rPr/>
              <w:t> </w:t>
            </w:r>
          </w:p>
        </w:tc>
        <w:tc>
          <w:tcPr>
            <w:tcW w:w="62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7810" w:type="dxa"/>
            <w:gridSpan w:val="2"/>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VII TRUSTEE</w:t>
            </w:r>
          </w:p>
        </w:tc>
        <w:tc>
          <w:tcPr>
            <w:tcW w:w="275" w:type="dxa"/>
            <w:tcBorders/>
            <w:shd w:fill="CCEEFF" w:val="clear"/>
            <w:vAlign w:val="center"/>
          </w:tcPr>
          <w:p>
            <w:pPr>
              <w:pStyle w:val="TableContents"/>
              <w:bidi w:val="0"/>
              <w:spacing w:before="0" w:after="283"/>
              <w:jc w:val="center"/>
              <w:rPr/>
            </w:pPr>
            <w:r>
              <w:rPr/>
              <w:t>22</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7.01.</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Duties of Trustee.</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7.02.</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Rights of Trustee.</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7.03.</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Individual Rights of Trustee.</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7.04.</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Trustee’s Disclaimer.</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7.05.</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of Defaults.</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7.06.</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 by Trustee to Holders.</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7.07.</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and Indemnity.</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7.08.</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Replacement of Trustee.</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7.09.</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Successor Trustee by Merger, etc.</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7.10.</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Eligibility; Disqualification.</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7.11.</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Preferential Collection of Claims Against Company.</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1610" w:type="dxa"/>
            <w:tcBorders/>
            <w:shd w:fill="CCEEFF" w:val="clear"/>
            <w:vAlign w:val="center"/>
          </w:tcPr>
          <w:p>
            <w:pPr>
              <w:pStyle w:val="TableContents"/>
              <w:bidi w:val="0"/>
              <w:spacing w:before="0" w:after="283"/>
              <w:jc w:val="left"/>
              <w:rPr/>
            </w:pPr>
            <w:r>
              <w:rPr/>
              <w:t> </w:t>
            </w:r>
          </w:p>
        </w:tc>
        <w:tc>
          <w:tcPr>
            <w:tcW w:w="620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4"/>
                <w:szCs w:val="4"/>
              </w:rPr>
            </w:pPr>
            <w:r>
              <w:rPr>
                <w:sz w:val="4"/>
                <w:szCs w:val="4"/>
              </w:rPr>
            </w:r>
          </w:p>
        </w:tc>
      </w:tr>
      <w:tr>
        <w:trPr/>
        <w:tc>
          <w:tcPr>
            <w:tcW w:w="7810" w:type="dxa"/>
            <w:gridSpan w:val="2"/>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VIII SATISFACTION AND DISCHARGE; DEFEASANCE</w:t>
            </w:r>
          </w:p>
        </w:tc>
        <w:tc>
          <w:tcPr>
            <w:tcW w:w="275" w:type="dxa"/>
            <w:tcBorders/>
            <w:shd w:fill="FFFFFF" w:val="clear"/>
            <w:vAlign w:val="center"/>
          </w:tcPr>
          <w:p>
            <w:pPr>
              <w:pStyle w:val="TableContents"/>
              <w:bidi w:val="0"/>
              <w:spacing w:before="0" w:after="283"/>
              <w:jc w:val="center"/>
              <w:rPr/>
            </w:pPr>
            <w:r>
              <w:rPr/>
              <w:t>26</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8.01.</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Satisfaction and Discharge of Indenture.</w:t>
            </w:r>
          </w:p>
        </w:tc>
        <w:tc>
          <w:tcPr>
            <w:tcW w:w="275" w:type="dxa"/>
            <w:tcBorders/>
            <w:shd w:fill="CCEEFF" w:val="clear"/>
            <w:vAlign w:val="center"/>
          </w:tcPr>
          <w:p>
            <w:pPr>
              <w:pStyle w:val="TableContents"/>
              <w:bidi w:val="0"/>
              <w:spacing w:before="0" w:after="283"/>
              <w:jc w:val="center"/>
              <w:rPr/>
            </w:pPr>
            <w:r>
              <w:rPr/>
              <w:t>26</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8.02.</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 of Trust Funds; Indemnification.</w:t>
            </w:r>
          </w:p>
        </w:tc>
        <w:tc>
          <w:tcPr>
            <w:tcW w:w="275" w:type="dxa"/>
            <w:tcBorders/>
            <w:shd w:fill="FFFFFF" w:val="clear"/>
            <w:vAlign w:val="center"/>
          </w:tcPr>
          <w:p>
            <w:pPr>
              <w:pStyle w:val="TableContents"/>
              <w:bidi w:val="0"/>
              <w:spacing w:before="0" w:after="283"/>
              <w:jc w:val="center"/>
              <w:rPr/>
            </w:pPr>
            <w:r>
              <w:rPr/>
              <w:t>27</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8.03.</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Defeasance of Securities of any Series.</w:t>
            </w:r>
          </w:p>
        </w:tc>
        <w:tc>
          <w:tcPr>
            <w:tcW w:w="275" w:type="dxa"/>
            <w:tcBorders/>
            <w:shd w:fill="CCEEFF" w:val="clear"/>
            <w:vAlign w:val="center"/>
          </w:tcPr>
          <w:p>
            <w:pPr>
              <w:pStyle w:val="TableContents"/>
              <w:bidi w:val="0"/>
              <w:spacing w:before="0" w:after="283"/>
              <w:jc w:val="center"/>
              <w:rPr/>
            </w:pPr>
            <w:r>
              <w:rPr/>
              <w:t>28</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8.04.</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Covenant Defeasance.</w:t>
            </w:r>
          </w:p>
        </w:tc>
        <w:tc>
          <w:tcPr>
            <w:tcW w:w="275" w:type="dxa"/>
            <w:tcBorders/>
            <w:shd w:fill="FFFFFF" w:val="clear"/>
            <w:vAlign w:val="center"/>
          </w:tcPr>
          <w:p>
            <w:pPr>
              <w:pStyle w:val="TableContents"/>
              <w:bidi w:val="0"/>
              <w:spacing w:before="0" w:after="283"/>
              <w:jc w:val="center"/>
              <w:rPr/>
            </w:pPr>
            <w:r>
              <w:rPr/>
              <w:t>29</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8.05.</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to Company.</w:t>
            </w:r>
          </w:p>
        </w:tc>
        <w:tc>
          <w:tcPr>
            <w:tcW w:w="275" w:type="dxa"/>
            <w:tcBorders/>
            <w:shd w:fill="CCEEFF" w:val="clear"/>
            <w:vAlign w:val="center"/>
          </w:tcPr>
          <w:p>
            <w:pPr>
              <w:pStyle w:val="TableContents"/>
              <w:bidi w:val="0"/>
              <w:spacing w:before="0" w:after="283"/>
              <w:jc w:val="center"/>
              <w:rPr/>
            </w:pPr>
            <w:r>
              <w:rPr/>
              <w:t>29</w:t>
            </w:r>
          </w:p>
        </w:tc>
      </w:tr>
      <w:tr>
        <w:trPr/>
        <w:tc>
          <w:tcPr>
            <w:tcW w:w="1610" w:type="dxa"/>
            <w:tcBorders/>
            <w:shd w:fill="FFFFFF" w:val="clear"/>
            <w:vAlign w:val="center"/>
          </w:tcPr>
          <w:p>
            <w:pPr>
              <w:pStyle w:val="TableContents"/>
              <w:bidi w:val="0"/>
              <w:spacing w:before="0" w:after="283"/>
              <w:jc w:val="left"/>
              <w:rPr/>
            </w:pPr>
            <w:r>
              <w:rPr/>
              <w:t> </w:t>
            </w:r>
          </w:p>
        </w:tc>
        <w:tc>
          <w:tcPr>
            <w:tcW w:w="62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7810" w:type="dxa"/>
            <w:gridSpan w:val="2"/>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IX AMENDMENTS AND WAIVERS</w:t>
            </w:r>
          </w:p>
        </w:tc>
        <w:tc>
          <w:tcPr>
            <w:tcW w:w="275" w:type="dxa"/>
            <w:tcBorders/>
            <w:shd w:fill="CCEEFF" w:val="clear"/>
            <w:vAlign w:val="center"/>
          </w:tcPr>
          <w:p>
            <w:pPr>
              <w:pStyle w:val="TableContents"/>
              <w:bidi w:val="0"/>
              <w:spacing w:before="0" w:after="283"/>
              <w:jc w:val="center"/>
              <w:rPr/>
            </w:pPr>
            <w:r>
              <w:rPr/>
              <w:t>30</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9.01.</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Without Consent of Holders.</w:t>
            </w:r>
          </w:p>
        </w:tc>
        <w:tc>
          <w:tcPr>
            <w:tcW w:w="275" w:type="dxa"/>
            <w:tcBorders/>
            <w:shd w:fill="FFFFFF" w:val="clear"/>
            <w:vAlign w:val="center"/>
          </w:tcPr>
          <w:p>
            <w:pPr>
              <w:pStyle w:val="TableContents"/>
              <w:bidi w:val="0"/>
              <w:spacing w:before="0" w:after="283"/>
              <w:jc w:val="center"/>
              <w:rPr/>
            </w:pPr>
            <w:r>
              <w:rPr/>
              <w:t>30</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9.02.</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 Consent of Holders.</w:t>
            </w:r>
          </w:p>
        </w:tc>
        <w:tc>
          <w:tcPr>
            <w:tcW w:w="275" w:type="dxa"/>
            <w:tcBorders/>
            <w:shd w:fill="CCEEFF" w:val="clear"/>
            <w:vAlign w:val="center"/>
          </w:tcPr>
          <w:p>
            <w:pPr>
              <w:pStyle w:val="TableContents"/>
              <w:bidi w:val="0"/>
              <w:spacing w:before="0" w:after="283"/>
              <w:jc w:val="center"/>
              <w:rPr/>
            </w:pPr>
            <w:r>
              <w:rPr/>
              <w:t>30</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9.03.</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Limitations.</w:t>
            </w:r>
          </w:p>
        </w:tc>
        <w:tc>
          <w:tcPr>
            <w:tcW w:w="275" w:type="dxa"/>
            <w:tcBorders/>
            <w:shd w:fill="FFFFFF" w:val="clear"/>
            <w:vAlign w:val="center"/>
          </w:tcPr>
          <w:p>
            <w:pPr>
              <w:pStyle w:val="TableContents"/>
              <w:bidi w:val="0"/>
              <w:spacing w:before="0" w:after="283"/>
              <w:jc w:val="center"/>
              <w:rPr/>
            </w:pPr>
            <w:r>
              <w:rPr/>
              <w:t>31</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9.04.</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Trust Indenture Act.</w:t>
            </w:r>
          </w:p>
        </w:tc>
        <w:tc>
          <w:tcPr>
            <w:tcW w:w="275" w:type="dxa"/>
            <w:tcBorders/>
            <w:shd w:fill="CCEEFF" w:val="clear"/>
            <w:vAlign w:val="center"/>
          </w:tcPr>
          <w:p>
            <w:pPr>
              <w:pStyle w:val="TableContents"/>
              <w:bidi w:val="0"/>
              <w:spacing w:before="0" w:after="283"/>
              <w:jc w:val="center"/>
              <w:rPr/>
            </w:pPr>
            <w:r>
              <w:rPr/>
              <w:t>31</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9.05.</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Revocation and Effect of Consents.</w:t>
            </w:r>
          </w:p>
        </w:tc>
        <w:tc>
          <w:tcPr>
            <w:tcW w:w="275" w:type="dxa"/>
            <w:tcBorders/>
            <w:shd w:fill="FFFFFF" w:val="clear"/>
            <w:vAlign w:val="center"/>
          </w:tcPr>
          <w:p>
            <w:pPr>
              <w:pStyle w:val="TableContents"/>
              <w:bidi w:val="0"/>
              <w:spacing w:before="0" w:after="283"/>
              <w:jc w:val="center"/>
              <w:rPr/>
            </w:pPr>
            <w:r>
              <w:rPr/>
              <w:t>32</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9.06.</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Notation on or Exchange of Securities.</w:t>
            </w:r>
          </w:p>
        </w:tc>
        <w:tc>
          <w:tcPr>
            <w:tcW w:w="275" w:type="dxa"/>
            <w:tcBorders/>
            <w:shd w:fill="CCEEFF" w:val="clear"/>
            <w:vAlign w:val="center"/>
          </w:tcPr>
          <w:p>
            <w:pPr>
              <w:pStyle w:val="TableContents"/>
              <w:bidi w:val="0"/>
              <w:spacing w:before="0" w:after="283"/>
              <w:jc w:val="center"/>
              <w:rPr/>
            </w:pPr>
            <w:r>
              <w:rPr/>
              <w:t>32</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9.07.</w:t>
            </w:r>
          </w:p>
        </w:tc>
        <w:tc>
          <w:tcPr>
            <w:tcW w:w="6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 Protected.</w:t>
            </w:r>
          </w:p>
        </w:tc>
        <w:tc>
          <w:tcPr>
            <w:tcW w:w="275" w:type="dxa"/>
            <w:tcBorders/>
            <w:shd w:fill="FFFFFF" w:val="clear"/>
            <w:vAlign w:val="center"/>
          </w:tcPr>
          <w:p>
            <w:pPr>
              <w:pStyle w:val="TableContents"/>
              <w:bidi w:val="0"/>
              <w:spacing w:before="0" w:after="283"/>
              <w:jc w:val="center"/>
              <w:rPr/>
            </w:pPr>
            <w:r>
              <w:rPr/>
              <w:t>32</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9.08.</w:t>
            </w:r>
          </w:p>
        </w:tc>
        <w:tc>
          <w:tcPr>
            <w:tcW w:w="6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Supplemental Indenture.</w:t>
            </w:r>
          </w:p>
        </w:tc>
        <w:tc>
          <w:tcPr>
            <w:tcW w:w="275" w:type="dxa"/>
            <w:tcBorders/>
            <w:shd w:fill="CCEEFF" w:val="clear"/>
            <w:vAlign w:val="center"/>
          </w:tcPr>
          <w:p>
            <w:pPr>
              <w:pStyle w:val="TableContents"/>
              <w:bidi w:val="0"/>
              <w:spacing w:before="0" w:after="283"/>
              <w:jc w:val="center"/>
              <w:rPr/>
            </w:pPr>
            <w:r>
              <w:rPr/>
              <w:t>32</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765" w:type="dxa"/>
        <w:jc w:val="left"/>
        <w:tblInd w:w="0" w:type="dxa"/>
        <w:tblLayout w:type="fixed"/>
        <w:tblCellMar>
          <w:top w:w="0" w:type="dxa"/>
          <w:left w:w="0" w:type="dxa"/>
          <w:bottom w:w="0" w:type="dxa"/>
          <w:right w:w="0" w:type="dxa"/>
        </w:tblCellMar>
      </w:tblPr>
      <w:tblGrid>
        <w:gridCol w:w="1730"/>
        <w:gridCol w:w="7760"/>
        <w:gridCol w:w="275"/>
      </w:tblGrid>
      <w:tr>
        <w:trPr/>
        <w:tc>
          <w:tcPr>
            <w:tcW w:w="9490" w:type="dxa"/>
            <w:gridSpan w:val="2"/>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X MISCELLANEOUS</w:t>
            </w:r>
          </w:p>
        </w:tc>
        <w:tc>
          <w:tcPr>
            <w:tcW w:w="275" w:type="dxa"/>
            <w:tcBorders/>
            <w:shd w:fill="CCEEFF" w:val="clear"/>
            <w:vAlign w:val="center"/>
          </w:tcPr>
          <w:p>
            <w:pPr>
              <w:pStyle w:val="TableContents"/>
              <w:bidi w:val="0"/>
              <w:spacing w:before="0" w:after="283"/>
              <w:jc w:val="center"/>
              <w:rPr/>
            </w:pPr>
            <w:r>
              <w:rPr/>
              <w:t>32</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10.01.</w:t>
            </w:r>
          </w:p>
        </w:tc>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 Indenture Act Controls.</w:t>
            </w:r>
          </w:p>
        </w:tc>
        <w:tc>
          <w:tcPr>
            <w:tcW w:w="275" w:type="dxa"/>
            <w:tcBorders/>
            <w:shd w:fill="FFFFFF" w:val="clear"/>
            <w:vAlign w:val="center"/>
          </w:tcPr>
          <w:p>
            <w:pPr>
              <w:pStyle w:val="TableContents"/>
              <w:bidi w:val="0"/>
              <w:spacing w:before="0" w:after="283"/>
              <w:jc w:val="center"/>
              <w:rPr/>
            </w:pPr>
            <w:r>
              <w:rPr/>
              <w:t>32</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10.02.</w:t>
            </w:r>
          </w:p>
        </w:tc>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w:t>
            </w:r>
          </w:p>
        </w:tc>
        <w:tc>
          <w:tcPr>
            <w:tcW w:w="275" w:type="dxa"/>
            <w:tcBorders/>
            <w:shd w:fill="CCEEFF" w:val="clear"/>
            <w:vAlign w:val="center"/>
          </w:tcPr>
          <w:p>
            <w:pPr>
              <w:pStyle w:val="TableContents"/>
              <w:bidi w:val="0"/>
              <w:spacing w:before="0" w:after="283"/>
              <w:jc w:val="center"/>
              <w:rPr/>
            </w:pPr>
            <w:r>
              <w:rPr/>
              <w:t>33</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10.03.</w:t>
            </w:r>
          </w:p>
        </w:tc>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 by Holders with Other Holders.</w:t>
            </w:r>
          </w:p>
        </w:tc>
        <w:tc>
          <w:tcPr>
            <w:tcW w:w="275" w:type="dxa"/>
            <w:tcBorders/>
            <w:shd w:fill="FFFFFF" w:val="clear"/>
            <w:vAlign w:val="center"/>
          </w:tcPr>
          <w:p>
            <w:pPr>
              <w:pStyle w:val="TableContents"/>
              <w:bidi w:val="0"/>
              <w:spacing w:before="0" w:after="283"/>
              <w:jc w:val="center"/>
              <w:rPr/>
            </w:pPr>
            <w:r>
              <w:rPr/>
              <w:t>34</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10.04.</w:t>
            </w:r>
          </w:p>
        </w:tc>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Certificate and Opinion as to Conditions Precedent.</w:t>
            </w:r>
          </w:p>
        </w:tc>
        <w:tc>
          <w:tcPr>
            <w:tcW w:w="275" w:type="dxa"/>
            <w:tcBorders/>
            <w:shd w:fill="CCEEFF" w:val="clear"/>
            <w:vAlign w:val="center"/>
          </w:tcPr>
          <w:p>
            <w:pPr>
              <w:pStyle w:val="TableContents"/>
              <w:bidi w:val="0"/>
              <w:spacing w:before="0" w:after="283"/>
              <w:jc w:val="center"/>
              <w:rPr/>
            </w:pPr>
            <w:r>
              <w:rPr/>
              <w:t>34</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10.05.</w:t>
            </w:r>
          </w:p>
        </w:tc>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Statements Required in Certificate or Opinion.</w:t>
            </w:r>
          </w:p>
        </w:tc>
        <w:tc>
          <w:tcPr>
            <w:tcW w:w="275" w:type="dxa"/>
            <w:tcBorders/>
            <w:shd w:fill="FFFFFF" w:val="clear"/>
            <w:vAlign w:val="center"/>
          </w:tcPr>
          <w:p>
            <w:pPr>
              <w:pStyle w:val="TableContents"/>
              <w:bidi w:val="0"/>
              <w:spacing w:before="0" w:after="283"/>
              <w:jc w:val="center"/>
              <w:rPr/>
            </w:pPr>
            <w:r>
              <w:rPr/>
              <w:t>34</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10.06.</w:t>
            </w:r>
          </w:p>
        </w:tc>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Record Date for Vote or Consent of Holders.</w:t>
            </w:r>
          </w:p>
        </w:tc>
        <w:tc>
          <w:tcPr>
            <w:tcW w:w="275" w:type="dxa"/>
            <w:tcBorders/>
            <w:shd w:fill="CCEEFF" w:val="clear"/>
            <w:vAlign w:val="center"/>
          </w:tcPr>
          <w:p>
            <w:pPr>
              <w:pStyle w:val="TableContents"/>
              <w:bidi w:val="0"/>
              <w:spacing w:before="0" w:after="283"/>
              <w:jc w:val="center"/>
              <w:rPr/>
            </w:pPr>
            <w:r>
              <w:rPr/>
              <w:t>34</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10.07.</w:t>
            </w:r>
          </w:p>
        </w:tc>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Rules by Trustee and Agents.</w:t>
            </w:r>
          </w:p>
        </w:tc>
        <w:tc>
          <w:tcPr>
            <w:tcW w:w="275" w:type="dxa"/>
            <w:tcBorders/>
            <w:shd w:fill="FFFFFF" w:val="clear"/>
            <w:vAlign w:val="center"/>
          </w:tcPr>
          <w:p>
            <w:pPr>
              <w:pStyle w:val="TableContents"/>
              <w:bidi w:val="0"/>
              <w:spacing w:before="0" w:after="283"/>
              <w:jc w:val="center"/>
              <w:rPr/>
            </w:pPr>
            <w:r>
              <w:rPr/>
              <w:t>35</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10.08.</w:t>
            </w:r>
          </w:p>
        </w:tc>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Holidays.</w:t>
            </w:r>
          </w:p>
        </w:tc>
        <w:tc>
          <w:tcPr>
            <w:tcW w:w="275" w:type="dxa"/>
            <w:tcBorders/>
            <w:shd w:fill="CCEEFF" w:val="clear"/>
            <w:vAlign w:val="center"/>
          </w:tcPr>
          <w:p>
            <w:pPr>
              <w:pStyle w:val="TableContents"/>
              <w:bidi w:val="0"/>
              <w:spacing w:before="0" w:after="283"/>
              <w:jc w:val="center"/>
              <w:rPr/>
            </w:pPr>
            <w:r>
              <w:rPr/>
              <w:t>35</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10.09.</w:t>
            </w:r>
          </w:p>
        </w:tc>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Recourse Against Others.</w:t>
            </w:r>
          </w:p>
        </w:tc>
        <w:tc>
          <w:tcPr>
            <w:tcW w:w="275" w:type="dxa"/>
            <w:tcBorders/>
            <w:shd w:fill="FFFFFF" w:val="clear"/>
            <w:vAlign w:val="center"/>
          </w:tcPr>
          <w:p>
            <w:pPr>
              <w:pStyle w:val="TableContents"/>
              <w:bidi w:val="0"/>
              <w:spacing w:before="0" w:after="283"/>
              <w:jc w:val="center"/>
              <w:rPr/>
            </w:pPr>
            <w:r>
              <w:rPr/>
              <w:t>35</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10.10.</w:t>
            </w:r>
          </w:p>
        </w:tc>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Counterparts.</w:t>
            </w:r>
          </w:p>
        </w:tc>
        <w:tc>
          <w:tcPr>
            <w:tcW w:w="275" w:type="dxa"/>
            <w:tcBorders/>
            <w:shd w:fill="CCEEFF" w:val="clear"/>
            <w:vAlign w:val="center"/>
          </w:tcPr>
          <w:p>
            <w:pPr>
              <w:pStyle w:val="TableContents"/>
              <w:bidi w:val="0"/>
              <w:spacing w:before="0" w:after="283"/>
              <w:jc w:val="center"/>
              <w:rPr/>
            </w:pPr>
            <w:r>
              <w:rPr/>
              <w:t>35</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10.11.</w:t>
            </w:r>
          </w:p>
        </w:tc>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Governing Laws and Submission to Jurisdiction.</w:t>
            </w:r>
          </w:p>
        </w:tc>
        <w:tc>
          <w:tcPr>
            <w:tcW w:w="275" w:type="dxa"/>
            <w:tcBorders/>
            <w:shd w:fill="FFFFFF" w:val="clear"/>
            <w:vAlign w:val="center"/>
          </w:tcPr>
          <w:p>
            <w:pPr>
              <w:pStyle w:val="TableContents"/>
              <w:bidi w:val="0"/>
              <w:spacing w:before="0" w:after="283"/>
              <w:jc w:val="center"/>
              <w:rPr/>
            </w:pPr>
            <w:r>
              <w:rPr/>
              <w:t>35</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10.12.</w:t>
            </w:r>
          </w:p>
        </w:tc>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Adverse Interpretation of Other Agreements.</w:t>
            </w:r>
          </w:p>
        </w:tc>
        <w:tc>
          <w:tcPr>
            <w:tcW w:w="275" w:type="dxa"/>
            <w:tcBorders/>
            <w:shd w:fill="CCEEFF" w:val="clear"/>
            <w:vAlign w:val="center"/>
          </w:tcPr>
          <w:p>
            <w:pPr>
              <w:pStyle w:val="TableContents"/>
              <w:bidi w:val="0"/>
              <w:spacing w:before="0" w:after="283"/>
              <w:jc w:val="center"/>
              <w:rPr/>
            </w:pPr>
            <w:r>
              <w:rPr/>
              <w:t>35</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10.13.</w:t>
            </w:r>
          </w:p>
        </w:tc>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Successors.</w:t>
            </w:r>
          </w:p>
        </w:tc>
        <w:tc>
          <w:tcPr>
            <w:tcW w:w="275" w:type="dxa"/>
            <w:tcBorders/>
            <w:shd w:fill="FFFFFF" w:val="clear"/>
            <w:vAlign w:val="center"/>
          </w:tcPr>
          <w:p>
            <w:pPr>
              <w:pStyle w:val="TableContents"/>
              <w:bidi w:val="0"/>
              <w:spacing w:before="0" w:after="283"/>
              <w:jc w:val="center"/>
              <w:rPr/>
            </w:pPr>
            <w:r>
              <w:rPr/>
              <w:t>36</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10.14.</w:t>
            </w:r>
          </w:p>
        </w:tc>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Severability.</w:t>
            </w:r>
          </w:p>
        </w:tc>
        <w:tc>
          <w:tcPr>
            <w:tcW w:w="275" w:type="dxa"/>
            <w:tcBorders/>
            <w:shd w:fill="CCEEFF" w:val="clear"/>
            <w:vAlign w:val="center"/>
          </w:tcPr>
          <w:p>
            <w:pPr>
              <w:pStyle w:val="TableContents"/>
              <w:bidi w:val="0"/>
              <w:spacing w:before="0" w:after="283"/>
              <w:jc w:val="center"/>
              <w:rPr/>
            </w:pPr>
            <w:r>
              <w:rPr/>
              <w:t>36</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10.15.</w:t>
            </w:r>
          </w:p>
        </w:tc>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Table of Contents, Headings, Etc.</w:t>
            </w:r>
          </w:p>
        </w:tc>
        <w:tc>
          <w:tcPr>
            <w:tcW w:w="275" w:type="dxa"/>
            <w:tcBorders/>
            <w:shd w:fill="FFFFFF" w:val="clear"/>
            <w:vAlign w:val="center"/>
          </w:tcPr>
          <w:p>
            <w:pPr>
              <w:pStyle w:val="TableContents"/>
              <w:bidi w:val="0"/>
              <w:spacing w:before="0" w:after="283"/>
              <w:jc w:val="center"/>
              <w:rPr/>
            </w:pPr>
            <w:r>
              <w:rPr/>
              <w:t>36</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10.16.</w:t>
            </w:r>
          </w:p>
        </w:tc>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in a Foreign Currency or in ECU.</w:t>
            </w:r>
          </w:p>
        </w:tc>
        <w:tc>
          <w:tcPr>
            <w:tcW w:w="275" w:type="dxa"/>
            <w:tcBorders/>
            <w:shd w:fill="CCEEFF" w:val="clear"/>
            <w:vAlign w:val="center"/>
          </w:tcPr>
          <w:p>
            <w:pPr>
              <w:pStyle w:val="TableContents"/>
              <w:bidi w:val="0"/>
              <w:spacing w:before="0" w:after="283"/>
              <w:jc w:val="center"/>
              <w:rPr/>
            </w:pPr>
            <w:r>
              <w:rPr/>
              <w:t>36</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10.17.</w:t>
            </w:r>
          </w:p>
        </w:tc>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Judgment Currency.</w:t>
            </w:r>
          </w:p>
        </w:tc>
        <w:tc>
          <w:tcPr>
            <w:tcW w:w="275" w:type="dxa"/>
            <w:tcBorders/>
            <w:shd w:fill="FFFFFF" w:val="clear"/>
            <w:vAlign w:val="center"/>
          </w:tcPr>
          <w:p>
            <w:pPr>
              <w:pStyle w:val="TableContents"/>
              <w:bidi w:val="0"/>
              <w:spacing w:before="0" w:after="283"/>
              <w:jc w:val="center"/>
              <w:rPr/>
            </w:pPr>
            <w:r>
              <w:rPr/>
              <w:t>36</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10.18.</w:t>
            </w:r>
          </w:p>
        </w:tc>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Applicable Anti-Terrorism and Money Laundering Regulations.</w:t>
            </w:r>
          </w:p>
        </w:tc>
        <w:tc>
          <w:tcPr>
            <w:tcW w:w="275" w:type="dxa"/>
            <w:tcBorders/>
            <w:shd w:fill="CCEEFF" w:val="clear"/>
            <w:vAlign w:val="center"/>
          </w:tcPr>
          <w:p>
            <w:pPr>
              <w:pStyle w:val="TableContents"/>
              <w:bidi w:val="0"/>
              <w:spacing w:before="0" w:after="283"/>
              <w:jc w:val="center"/>
              <w:rPr/>
            </w:pPr>
            <w:r>
              <w:rPr/>
              <w:t>37</w:t>
            </w:r>
          </w:p>
        </w:tc>
      </w:tr>
      <w:tr>
        <w:trPr/>
        <w:tc>
          <w:tcPr>
            <w:tcW w:w="1730" w:type="dxa"/>
            <w:tcBorders/>
            <w:shd w:fill="FFFFFF" w:val="clear"/>
            <w:vAlign w:val="center"/>
          </w:tcPr>
          <w:p>
            <w:pPr>
              <w:pStyle w:val="TableContents"/>
              <w:bidi w:val="0"/>
              <w:spacing w:before="0" w:after="283"/>
              <w:jc w:val="left"/>
              <w:rPr/>
            </w:pPr>
            <w:r>
              <w:rPr/>
              <w:t> </w:t>
            </w:r>
          </w:p>
        </w:tc>
        <w:tc>
          <w:tcPr>
            <w:tcW w:w="77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sz w:val="4"/>
                <w:szCs w:val="4"/>
              </w:rPr>
            </w:pPr>
            <w:r>
              <w:rPr>
                <w:sz w:val="4"/>
                <w:szCs w:val="4"/>
              </w:rPr>
            </w:r>
          </w:p>
        </w:tc>
      </w:tr>
      <w:tr>
        <w:trPr/>
        <w:tc>
          <w:tcPr>
            <w:tcW w:w="9490" w:type="dxa"/>
            <w:gridSpan w:val="2"/>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XI SINKING FUNDS</w:t>
            </w:r>
          </w:p>
        </w:tc>
        <w:tc>
          <w:tcPr>
            <w:tcW w:w="275" w:type="dxa"/>
            <w:tcBorders/>
            <w:shd w:fill="CCEEFF" w:val="clear"/>
            <w:vAlign w:val="center"/>
          </w:tcPr>
          <w:p>
            <w:pPr>
              <w:pStyle w:val="TableContents"/>
              <w:bidi w:val="0"/>
              <w:spacing w:before="0" w:after="283"/>
              <w:jc w:val="center"/>
              <w:rPr/>
            </w:pPr>
            <w:r>
              <w:rPr/>
              <w:t>37</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11.01.</w:t>
            </w:r>
          </w:p>
        </w:tc>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Applicability of Article.</w:t>
            </w:r>
          </w:p>
        </w:tc>
        <w:tc>
          <w:tcPr>
            <w:tcW w:w="275" w:type="dxa"/>
            <w:tcBorders/>
            <w:shd w:fill="FFFFFF" w:val="clear"/>
            <w:vAlign w:val="center"/>
          </w:tcPr>
          <w:p>
            <w:pPr>
              <w:pStyle w:val="TableContents"/>
              <w:bidi w:val="0"/>
              <w:spacing w:before="0" w:after="283"/>
              <w:jc w:val="center"/>
              <w:rPr/>
            </w:pPr>
            <w:r>
              <w:rPr/>
              <w:t>37</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11.02.</w:t>
            </w:r>
          </w:p>
        </w:tc>
        <w:tc>
          <w:tcPr>
            <w:tcW w:w="7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Satisfaction of Sinking Fund Payments with Securities.</w:t>
            </w:r>
          </w:p>
        </w:tc>
        <w:tc>
          <w:tcPr>
            <w:tcW w:w="275" w:type="dxa"/>
            <w:tcBorders/>
            <w:shd w:fill="CCEEFF" w:val="clear"/>
            <w:vAlign w:val="center"/>
          </w:tcPr>
          <w:p>
            <w:pPr>
              <w:pStyle w:val="TableContents"/>
              <w:bidi w:val="0"/>
              <w:spacing w:before="0" w:after="283"/>
              <w:jc w:val="center"/>
              <w:rPr/>
            </w:pPr>
            <w:r>
              <w:rPr/>
              <w:t>37</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11.03.</w:t>
            </w:r>
          </w:p>
        </w:tc>
        <w:tc>
          <w:tcPr>
            <w:tcW w:w="7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Redemption of Securities for Sinking Fund.</w:t>
            </w:r>
          </w:p>
        </w:tc>
        <w:tc>
          <w:tcPr>
            <w:tcW w:w="275" w:type="dxa"/>
            <w:tcBorders/>
            <w:shd w:fill="FFFFFF" w:val="clear"/>
            <w:vAlign w:val="center"/>
          </w:tcPr>
          <w:p>
            <w:pPr>
              <w:pStyle w:val="TableContents"/>
              <w:bidi w:val="0"/>
              <w:spacing w:before="0" w:after="283"/>
              <w:jc w:val="center"/>
              <w:rPr/>
            </w:pPr>
            <w:r>
              <w:rPr/>
              <w:t>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between Trust Indenture Act of 1939 and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 2026</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700"/>
        <w:gridCol w:w="60"/>
        <w:gridCol w:w="1280"/>
      </w:tblGrid>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310(a)(1)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4.02, 10.05</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316(a)(1)(A)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317(a)(1)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part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 2026 between INTERCONT(CAYMAN) LIMITED, a Cayman Islands exempted company (the “Company”) and [    ] (the “Trustee”).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of the Securities issued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Amounts</w:t>
      </w:r>
      <w:r>
        <w:rPr>
          <w:rFonts w:ascii="Times New Roman;Times;Serif" w:hAnsi="Times New Roman;Times;Serif"/>
          <w:b w:val="false"/>
          <w:i w:val="false"/>
          <w:caps w:val="false"/>
          <w:smallCaps w:val="false"/>
          <w:sz w:val="20"/>
        </w:rPr>
        <w:t>” means any additional amounts which are required hereby or by any Security, under circumstances specified herein or therein, to be paid by the Company in respect of certain taxes imposed on Holders specified therein and which are owing to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Registrar or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of the United States Code (or any successor thereto) or any similar federal or state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duly authorized committee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(x) Saturday, (y) Sunday or (z) day on which state or federally chartered banking institutions in New York, New York are not required to be open.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Share Capital</w:t>
      </w:r>
      <w:r>
        <w:rPr>
          <w:rFonts w:ascii="Times New Roman;Times;Serif" w:hAnsi="Times New Roman;Times;Serif"/>
          <w:b w:val="false"/>
          <w:i w:val="false"/>
          <w:caps w:val="false"/>
          <w:smallCaps w:val="false"/>
          <w:sz w:val="20"/>
        </w:rPr>
        <w:t>” of any Person means any and all shares, interests, rights to purchase, warrants, options, participations or other equivalents of or interests in (however designated) equity of such Person, but excluding any debt securities convertible into such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Certificated Securities</w:t>
      </w:r>
      <w:r>
        <w:rPr>
          <w:rFonts w:ascii="Times New Roman;Times;Serif" w:hAnsi="Times New Roman;Times;Serif"/>
          <w:b w:val="false"/>
          <w:i w:val="false"/>
          <w:caps w:val="false"/>
          <w:smallCaps w:val="false"/>
          <w:sz w:val="20"/>
        </w:rPr>
        <w:t>” means Securities in the form of physical, certificated Securities in registered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party named as such above until a successor replaces it in accordance with the terms of this Indenture and thereafter means the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signed in the name of the Company by two Officers, one of whom must be the Company’s principal executive officer, principal financial officer or principal accounting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Request</w:t>
      </w:r>
      <w:r>
        <w:rPr>
          <w:rFonts w:ascii="Times New Roman;Times;Serif" w:hAnsi="Times New Roman;Times;Serif"/>
          <w:b w:val="false"/>
          <w:i w:val="false"/>
          <w:caps w:val="false"/>
          <w:smallCaps w:val="false"/>
          <w:sz w:val="20"/>
        </w:rPr>
        <w:t>” means a written request signed in the name of the Company by its Chairman of the Board, a President or a Vice President, and by its Chief Financial Officer, its Secretary or an Assistant Secretary,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office at the date of the execution of this Indenture is [ ], Attention: [ ], or at such other address as the Trustee may designate from time to time.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sequestrator or similar official under any Bankruptcy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or “default” means any event which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means the default rate of interest specified in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Depository</w:t>
      </w:r>
      <w:r>
        <w:rPr>
          <w:rFonts w:ascii="Times New Roman;Times;Serif" w:hAnsi="Times New Roman;Times;Serif"/>
          <w:b w:val="false"/>
          <w:i w:val="false"/>
          <w:caps w:val="false"/>
          <w:smallCaps w:val="false"/>
          <w:sz w:val="20"/>
        </w:rPr>
        <w:t>”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and if at any time there is more than one such person, “Depository” as used with respect to the Securities of any Series shall mean the Depository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Discount Security</w:t>
      </w:r>
      <w:r>
        <w:rPr>
          <w:rFonts w:ascii="Times New Roman;Times;Serif" w:hAnsi="Times New Roman;Times;Serif"/>
          <w:b w:val="false"/>
          <w:i w:val="false"/>
          <w:caps w:val="false"/>
          <w:smallCaps w:val="false"/>
          <w:sz w:val="20"/>
        </w:rPr>
        <w:t>” means any Security that provides for an amount less than the stated principal amount thereof to be due and payable upon declaration of acceleration of the maturity thereof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ECU</w:t>
      </w:r>
      <w:r>
        <w:rPr>
          <w:rFonts w:ascii="Times New Roman;Times;Serif" w:hAnsi="Times New Roman;Times;Serif"/>
          <w:b w:val="false"/>
          <w:i w:val="false"/>
          <w:caps w:val="false"/>
          <w:smallCaps w:val="false"/>
          <w:sz w:val="20"/>
        </w:rPr>
        <w:t>” means the European Currency Unit as determined by the Commission of the European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Currency</w:t>
      </w:r>
      <w:r>
        <w:rPr>
          <w:rFonts w:ascii="Times New Roman;Times;Serif" w:hAnsi="Times New Roman;Times;Serif"/>
          <w:b w:val="false"/>
          <w:i w:val="false"/>
          <w:caps w:val="false"/>
          <w:smallCaps w:val="false"/>
          <w:sz w:val="20"/>
        </w:rPr>
        <w:t>” means any currency or currency unit issued by a government other than the government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Foreign Government Obligations</w:t>
      </w:r>
      <w:r>
        <w:rPr>
          <w:rFonts w:ascii="Times New Roman;Times;Serif" w:hAnsi="Times New Roman;Times;Serif"/>
          <w:b w:val="false"/>
          <w:i w:val="false"/>
          <w:caps w:val="false"/>
          <w:smallCaps w:val="false"/>
          <w:sz w:val="20"/>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Global Securities</w:t>
      </w:r>
      <w:r>
        <w:rPr>
          <w:rFonts w:ascii="Times New Roman;Times;Serif" w:hAnsi="Times New Roman;Times;Serif"/>
          <w:b w:val="false"/>
          <w:i w:val="false"/>
          <w:caps w:val="false"/>
          <w:smallCaps w:val="false"/>
          <w:sz w:val="20"/>
        </w:rPr>
        <w:t>” means a Security or Securities, as the case may be, in the form established pursuant to Section 2.02 evidencing all or part of a Series of Securities, issued to the Depository for such Series or its nominee, and registered in the name of such Depository or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means a person in whose name a Security is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amended and supplemented from time to time and shall include the form and terms of particular Series of Securities established as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in respect of the Securities, unless the context otherwise requires, refers to interest payable on the Securities, including any additional interest that may become payable pursuant to Section 6.02(b).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w:t>
      </w:r>
      <w:r>
        <w:rPr>
          <w:rFonts w:ascii="Times New Roman;Times;Serif" w:hAnsi="Times New Roman;Times;Serif"/>
          <w:b w:val="false"/>
          <w:i w:val="false"/>
          <w:caps w:val="false"/>
          <w:smallCaps w:val="false"/>
          <w:sz w:val="20"/>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the Chairman of the Board, the President, any Vice-President, the Treasurer, the Secretary, any Assistant Treasurer or any Assistant Secretary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two Officers, one of whom must be the Company’s principal executive officer, principal financial officer or principal accounting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 written opinion of legal counsel who is, and which opinion is, acceptable to the Trustee and its counsel. Such legal counsel may be an employee of or counsel to the Company or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association, limited liability company, joint-stock company, trust, unincorporated organization or government or any agency or political subdivision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of a Security means the principal of the Security plus, when appropriate, the premium, if any, on, and any Additional Amounts in respect of, the Security.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any officer of the Trustee in its Corporate Trust Office and also means, any vice president, managing director, director, associate, assistant vice president, or any other officer of the Trustee customarily performing functions similar to those performed by any of the above designated officers and also, with respect to a particular corporate trust matter, any other officer to whom any corporate trust matter is referred because of his or her knowledge of and familiarity with a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the debentures, notes or other debt instruments of the Company of any Series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Series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Series of Securities</w:t>
      </w:r>
      <w:r>
        <w:rPr>
          <w:rFonts w:ascii="Times New Roman;Times;Serif" w:hAnsi="Times New Roman;Times;Serif"/>
          <w:b w:val="false"/>
          <w:i w:val="false"/>
          <w:caps w:val="false"/>
          <w:smallCaps w:val="false"/>
          <w:sz w:val="20"/>
        </w:rPr>
        <w:t>” means each series of debentures, notes or other debt instruments of the Company created pursuant to Sections 2.01 and 2.02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Stated Maturity</w:t>
      </w:r>
      <w:r>
        <w:rPr>
          <w:rFonts w:ascii="Times New Roman;Times;Serif" w:hAnsi="Times New Roman;Times;Serif"/>
          <w:b w:val="false"/>
          <w:i w:val="false"/>
          <w:caps w:val="false"/>
          <w:smallCaps w:val="false"/>
          <w:sz w:val="20"/>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Indebtedness</w:t>
      </w:r>
      <w:r>
        <w:rPr>
          <w:rFonts w:ascii="Times New Roman;Times;Serif" w:hAnsi="Times New Roman;Times;Serif"/>
          <w:b w:val="false"/>
          <w:i w:val="false"/>
          <w:caps w:val="false"/>
          <w:smallCaps w:val="false"/>
          <w:sz w:val="20"/>
        </w:rPr>
        <w:t>” means any indebtedness which is expressly subordinated to the indebtedness evidenced by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in respect of any Person, any corporation, association, partnership or other business entity of which more than 50% of the total voting power of Share Capital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means the Trust Indenture Act of 1939 (15 U.S. Code Sections 77aaa-77bbbb) as in effect on the date of this Indenture; provided, however, that in the event the Trust Indenture Act of 1939 is amended after such date, “TIA” means, to the extent required by any such amendment, the Trust Indenture Act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Other Definitions.</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28" w:type="dxa"/>
          <w:right w:w="0" w:type="dxa"/>
        </w:tblCellMar>
      </w:tblPr>
      <w:tblGrid>
        <w:gridCol w:w="2930"/>
        <w:gridCol w:w="60"/>
        <w:gridCol w:w="1160"/>
      </w:tblGrid>
      <w:tr>
        <w:trPr/>
        <w:tc>
          <w:tcPr>
            <w:tcW w:w="293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IN</w:t>
              <w:br/>
              <w:t>SECTION</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Law”</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Instrument”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Journal”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Judgment Currency”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Legal Holiday”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mandatory sinking fund payment”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Market Exchange 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New York Banking Day”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optional sinking fund payment”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Paying Agent”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Required Currency”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r>
      <w:tr>
        <w:trPr/>
        <w:tc>
          <w:tcPr>
            <w:tcW w:w="29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successor person”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r>
      <w:tr>
        <w:trPr/>
        <w:tc>
          <w:tcPr>
            <w:tcW w:w="29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Temporary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Incorporation by Reference of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 This Indenture shall also include those provisions of the TIA required to be included herein by the provisions of the Trust Indenture Reform Act of 1990. The following TIA terms used in this Indenture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Securityholder.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or “institutional trustee” means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 and any successor obligor upon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Rules of Construction.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references to “generally accepted accounting principles” shall mean generally accepted accounting principles in effect as of the time when and for the period as to which such accounting principles are to be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“or” is not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words in the singular include the plural, and in the plural include the singular;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provisions apply to successive events and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references to agreements and other instruments include subsequent amendments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term “merger” includes a statutory share exchange, and the term “merged” has a correlative meaning;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“herein,” “hereof”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Issuable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Establishment of Terms of Series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(a), and either as to such Securities within the Series or as to the Series generally in the case of Subsections (b) through (t) by a Board Resolution, a supplemental indenture or an Officers’ Certificate pursuant to authority granted under a Board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designation, aggregate principal amount and authorized denominations of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price or prices, (expressed as a percentage of the aggregate principal amount thereof) at which the Securities of the Series will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commence and be payable and any regular record date for the interest payable on any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optional or mandatory sinking fund provisions or conversion or exchangeability provisions upon which Securities of the Series shall be redeemed, purchased, converted or exchanged;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date, if any, after which and the price or prices at which the Securities of the Series may be optionally redeemed or must be mandatorily redeemed and any other terms and provisions of optional or mandatory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other than denominations of $1,000 and any integral multiple thereof, the denominations in which the Securities of the Series shall be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other than the full principal amount, the portion of the principal amount of the Securities of the Series that shall be payable upon declaration of acceleration pursuant to Section 6.02 or provable in bankruptcy;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currency or currencies, including composite currencies, in which payments of principal of, premium or interest, if any, on the Securities of the Series will be payable, if other than the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payments of principal of, premium or interest, if any, on the Securities of the Series will be payable, at the Company’s election or at the election of any Holder, in a currency other than that in which the Securities of the Series are stated to be payable, the period or periods within which, and the terms and conditions upon which, the election may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payments of interest, if any, on the Securities of the Series will be payable, at the Company’s election or at the election of any Holder, in cash or additional securities, and the terms and conditions upon which the election may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denominated in a currency or currencies other than the currency of the United States of America, the equivalent price of the Securities of the Series in the currency of the United States of America for purposes of determining the voting rights of Holders of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amount of payments of principal, premium or interest may be determined with reference to an index, formula or other method based on a coin or currency other than that in which the Securities of the Series are stated to be payable, the manner in which the amounts will be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restrictive covenants or other material terms relating to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whether the Securities of the Series will be issued in the form of global securities or certificates in registered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any terms with respect to subordination;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listing on any securities exchange or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additional provisions, if any, related to defeasance and discharge of the offered debt securities;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applicability of any guarantees, which would be governed by New York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may be issued from time to time, consistent with the terms of this Indenture, if so provided by or pursuant to the Board Resolution, supplemental indenture or Officers’ Certificate referred to above, and the authorized principal amount of any Series may not be increased to provide for issuance of additional Securities of such Series, unless otherwise provided in such Board Resolution, supplemental Indenture or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Execution and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Officers shall sign the Securities for the Company by manual or facsimile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 an Opinion of Counsel complying with Section 10.04.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of such Series: (a) if the Trustee, being advised by counsel, determines that such action may not lawfully be taken; or (b) if a Responsible Officer of the Trustee in good faith shall determine that such action would expose the Trustee to personal liability to Holders of any then outstanding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successor that has replaced the Company in accordance with Article 5 has executed an indenture supplemental hereto with the Trustee pursuant to Section 5.01, any of the Securities authenticated or delivered prior to such transaction may, from time to time, at the request of such successor, be exchanged for other Securities executed in the name of the such successor with such changes in phraseology and form as may be appropriate, but otherwise identical to the Securities surrendered for such exchange and of like principal amount; and the Trustee, upon receipt of a Company Order of such successor, shall authenticate and deliver Securities as specified in such order for the purpose of such exchange. If Securities shall at any time be authenticated and delivered in any new name of such successor pursuant to this provision of Section 2.03 in exchange or substitution for or upon registration of transfer of any Securities, such successor, at the option of the Holders but without expense to them, shall provide for the exchange of all Securities then outstanding for Securities authenticated and delivered in such new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Registrar and Paying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with respect to each Series of Securities, at the place or places specified with respect to such Series pursuant to Section 2.02, an office or agency where Securities of such Series may be presented or surrendered for payment (“Paying Agent”) and where Securities of such Series may be surrendered for registration of transfer or exchange (“Registrar”). The Registrar shall keep a register with respect to each Series of Securities and to their transfer and exchange. The Company will give prompt written notice to the Trustee of the name and address, and any change in the name or address, of each Registrar and Paying Agent. If at any time the Company shall fail to maintain any such required Registrar or Paying Agent or shall fail to furnish the Trustee with the name and address thereof, such presentations and surrenders may be made or served at the Corporate Trust Office of the Trustee, and the Company hereby appoints the Trustee as its agent to receive all such presentations and surrenders.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co-registrars or additional paying agents and may from time to time rescind such designations; provided, however, that no such designation or rescission shall in any manner relieve the Company of its obligations to maintain a Registrar or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appoints [    ] as the initial Registrar and Paying Agent for each Series unless another Registrar or Paying Agent as the case may be, is appointed prior to the time Securities of that Series are first issued. Each Registrar and Paying Agent shall be entitled to all of the rights, protections, exculpations and indemnities afforded to the Trustee in connection with its roles as Registrar and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Paying Agent to Hold Money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Securityholders of any Series of Securities all money held by it as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Securityholder 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and shall otherwise comply with TIA Section 312(a). If the Trustee is not the Registrar, the Company shall furnish to the Trustee at least [ ]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Transfer and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Any exchange or transfer shall be without charge, except that the Company or the Registrar may require payment of a sum sufficient to cover any tax or other governmental charge required by law; provided that this sentence shall not apply to any exchange pursuant to Section 2.11, 2.08, 3.06 or 9.06.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Registrar shall be required (a) to issue, register the transfer of, or exchange Securities of any Series for the period beginning at the opening of business [ ]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Company, evidencing the same debt and entitled to the same benefits under this Indenture, as the Securities surrendered upon such transfer or exchange. Any Registrar appointed pursuant to Section 2.04 shall provide to the Trustee such information as the Trustee may reasonably require in connection with the delivery by such Registrar of Securities upon transfer or exchange of Securities. Each Holder of a Security agrees to indemnify the Company and the Trustee against any liability that may result from the transfer, exchange or assignment of such Holder’s Security in violation of any provision of this Indenture and/or applicable U.S. federal or state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Mutilated, Destroyed, Lost and Stolen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Registrar,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Registrar (i) evidence to their satisfaction of the destruction, loss or theft of any Security and (ii) such security or indemnity as may be required by them to save each of them and any agent of either of them harmless, then, in the absence of notice to the Company or the Registrar that such Security has been acquired by a bona fide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Outstanding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2.08, it ceases to be outstanding until the Trustee receives proof satisfactory to it that the replaced Security is held by a bona fide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a Subsidiary or an Affiliate of any thereof)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does not cease to be outstanding because the Company or an Affiliate holds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Treasury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Securities of a Series have concurred in any request, demand, authorization, direction, notice, consent or waiver Securities of a Series owned by the Company or an Affiliate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Temporary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the Trustee shall authenticate temporary securities upon a Company Order (“Temporary Securities”). Temporary Securities shall be substantially in the form of definitive Securities but may have variations that the Company considers appropriate for temporary Securities. Without unreasonable delay, the Company shall prepare and the Trustee upon written request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any time may deliver Securities to the Trustee for cancellation. The Registrar and the Paying Agent shall forward to the Trustee or its agent any Securities surrendered to them for transfer, exchange, payment or conversion. The Trustee and no one else shall cancel, in accordance with its standard procedures, all Securities surrendered for transfer, exchange, payment, conversion or cancellation and shall deliver the cancelled Securities to the Company. No Security shall be authenticated in exchange for any Security cancelled pursuant to this Section 2.12.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to the extent permitted by law, purchase Securities in the open market or by tender offer at any price or by private agreement. Any Securities purchased or otherwise acquired by the Company or any of its Subsidiaries prior to the final maturity of such Securities may, to the extent permitted by law, be reissued or resold or may, at the option of the Company, be surrendered to the Trustee for cancellation. Any Securities surrendered for cancellation may not be reissued or resold and shall be promptly cancelled by the Trustee, and the Company may not hold or resell such Securities or issue any new Securities to replace any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Defaulted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a Series of Securities, it shall pay defaulted interest, plus, to the extent permitted by law, any interest payable on the defaulted interest at the Default Rate, to the persons who are Security holders of the Series on a subsequent special record date. The Company shall fix the record date and payment date. At least [ ] days before the record date, the Company shall mail to the Trustee and the Paying Agent and to each Securityholder of the Series a notice that states the record date, the payment date and the amount of interest to be paid. The Company may pay defaulted interest in any other lawful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Board Resolution, a supplemental indenture hereto or an Officers’ Certificate shall establish whether the Securities of a Series shall be issued in whole or in part in the form of one or more Global Securities and the Depository for such Global Security 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Notwithstanding any provisions to the contrary contained in Section 2.07 of the Indenture and in addition thereto, any Global Security shall be exchangeable pursuant to Section 2.07 of the Indenture for Securities registered in the names of Holders other than the Depository for such Security or its nominee only if (A) such Depository notifies the Company that it is unwilling or unable to continue as Depository for such Global Security or if at any time such Depository ceases to be a clearing agency registered under the Exchange Act, and, in either case, the Company fails to appoint a successor Depository within 90 days of such event, (B) the Company executes and delivers to the Trustee an Officers’ Certificate to the effect that such Global Security shall be so exchangeable or (C) an Event of Default with respect to the Securities represented by such Global Security shall have happened and be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provided in this Section 2.14(b),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Securities issued in exchange for a Global Security or any portion thereof shall be issued in definitive, fully registered form, without interest coupons, shall have an aggregate principal amount equal to that of such Global Security or portion thereof to be so exchanged, shall be registered in such names and be in such authorized denominations as the Depository shall designate and shall bear the applicable legends provided for herein. Any Global Security to be exchanged in whole shall be surrendered by the Depository to the Trustee, as Registrar. With regard to any Global Security to be exchanged in part, either such Global Security shall be so surrendered for exchange or, if the Registrar is acting as custodian for the Depository or its nominee with respect to such Global Security, the principal amount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Depository or an authorized representative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registered Holder may grant proxies and otherwise authorize any Person, including participants in the Depository and persons that may hold interests through participants in the Depository, to take any action which a Holder is entitled to take under this Indenture or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of the occurrence of any of the events specified in 2.14(b)(i), the Company will promptly make available to the Trustee a reasonable supply of Certificated Securities in definitive, fully registered form, without interest coupons. If (A) an event described in Section 2.14(b)(i)(A) or (B) occurs and definitive Certificated Securities are not issued promptly to all beneficial owners or (B) the Registrar receives from a beneficial owner instructions to obtain definitive Certificated Securities due to an event described in Section 2.14(b)(i)(C) and definitive Certificated Securities are not issued promptly to any such beneficial owner, the Company expressly acknowledges, with respect to the right of any Holder to pursue a remedy pursuant to Section 6.07 hereof, the right of any beneficial owner of Securities to pursue such remedy with respect to the portion of the Global Security that represents such beneficial owner’s Securities as if such definitive certificated Securities had been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Notwithstanding any provision to the contrary in this Indenture, so long as a Global Security remains outstanding and is held by or on behalf of the Depository, transfers of a Global Security, in whole or in part, or of any beneficial interest therein, shall only be made in accordance with Section 2.07, this Section 2.14(b) and the rules and procedures of the Depository for such Global Security to the extent applicable to such transaction and as in effect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Global Security issued hereunder shall bear a legend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Depository,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other provisions of this Indenture, unless otherwise specified as contemplated by Section 2.02, payment of the principal of and interest, if any, on any Global Security shall be made to the Holder thereof at their registered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At all times the Securities are held in book-entry form with a Depository, (i) the Trustee may deal with such Depository as the authorized representative of the Holders, (ii) the rights of the Holders shall be exercised only through the Depository and shall be limited to those established by law and agreement between the Holders and the Depository and/or direct participants of the Depository, (iii) the Depository will make book-entry transfers among the direct participants of the Depository and will receive and transmit distributions of principal and interest on the Securities to such direct participants; and (iv) the direct participants of the Depository shall have no rights under this Indenture, or any supplement hereto, under or with respect to any of the Securities held on their behalf by the Depository, and the Depository may be treated by the Trustee and its agents, employees, officers and directors as the absolute owner of the Securities for all purposes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CUSIP Numbers.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“ISIN” or other identification numbers (if then generally in use), and, if so, the Trustee shall use “CUSIP”, “ISIN” or such other identification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Notice to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and Registrar in writing of the redemption date and the principal amount of Series of Securities to be redeemed. The Company shall give the notice at least [ ] days before the redemption date (or such shorter notice as may be acceptable to the Trustee and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Selection of Securities to be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a Board Resolution, a supplemental indenture or an Officers’ Certificate, if less than all the Securities of a Series are to be redeemed, the Registrar shall select the Securities of the Series to be redeemed in accordance with its customary procedures. The Registrar shall make the selection from Securities of the Series outstanding not previously called for redemption. The Registrar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2.02(g), the minimum principal denomination for each Series and integral multiples thereof. Provisions of this Indenture that apply to Securities of a Series called for redemption also apply to portions of Securities of that Series called for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Notice of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a supplemental indenture hereto or an Officers’ Certificate, at least [ ] days but not more than [ ] days before a redemption date, the Company shall mail a notice of redemption by first-class mail to each Holder whose Securities are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Securities of the Series to be redeemed and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name and address of the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Securities of the Series called for redemption must be surrendered to the Paying Agent to collect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interest on Securities of the Series called for redemption ceases to accrue on and after the redemption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information as may be required by the terms of the particular Series or the Securities of a Series being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written request, the Trustee shall distribute the notice of redemption prepared by the Company in the Company’s name and at its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Effect of Notice of 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Once notice of redemption is mailed or published as provided in Section 3.03,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Deposit of Redemption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redemption date, the Company shall deposit with the Paying Agent money sufficient to pay the redemption price of and accrued interest, if any, on all Securities to be redeemed on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Securities Redeemed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Payment of Principal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under the terms of a particular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installment of principal or interest shall be considered paid on the date it is due if the Paying Agent (other than the Company) holds by [    ] [a].m., New York City time, on that date money, deposited by the Company or an Affiliate thereof, sufficient to pay such installment. The Company shall (in immediately available funds), to the fullest extent permitted by law, pay interest on overdue principal and overdue installments of interest at the rate borne by the Securities per annum;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payment of the principal of and interest on the Securities shall be made at the office or agency of the Company maintained for that purpose in [    ] (which shall initially be [    ], the Paying Agent) in such coin or currency of the United States of America as at the time of payment is legal tender for payment of public and private debts;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at the option of the Company payment of interest may be made by check mailed to the address of the Person entitled thereto as such address appears in the register;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 Holder with an aggregate principal amount in excess of $[    ] will be paid by wire transfer in immediately available funds at the election of such Holder if such Holder has provided wire transfer instructions to the Company at least [    ] Business Days prior to the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SEC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Securities are outstanding, the Company shall (i) file with the SEC within the time periods prescribed by its rules and regulations and (ii) furnish to the Trustee and the Holders of the Securities within [    ] days after the date on which the Company would be required to file the same with the SEC pursuant to its rules and regulations (giving effect to any grace period provided by Rule 12b-25 under the Exchange Act), all quarterly and annual financial information required to be furnished or filed with the SEC pursuant to Section 13 and Section 15(d) of the Exchange Act and, with respect to the annual consolidated financial statements only, a report thereon by the Company’s independent auditors. The Company also shall comply with the other provisions of TIA Section 314(a).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Company shall not be required to file any report or other information with the SEC if the SEC does not permit such filing, although such reports shall be furnished to the Trustee. Documents filed by the Company with the SEC via the SEC’s EDGAR system (or any successor thereto) will be deemed furnished to the Trustee and the Holders of the Securities as of the time such documents are filed via EDGAR (or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Compliance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 ] days after the end of each fiscal year of the Company, an officers certificate signed by two of the Company’s officers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in reasonable detail and the efforts to remedy the same). For purposes of this Section 4.03, compliance shall be determined without regard to any grace period or requirement of notice provided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 ] days after the occurrence thereof, written notice in the form of an Officers’ Certificate of any Event of Default described in Section 6.01(e), (f), (g) or (h) and any event of which it becomes aware that with the giving of notice or the lapse of time would become such an Event of Default, its status and what action the Company is taking or proposes to take with respect thereto. For the avoidance of doubt, a breach of a covenant under an Instrument that is not a payment default and that has not given rise to a right of acceleration under such Instrument shall not trigger the requirement to provide notice under this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Stay, Extension and Usury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Corporate Existence.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V, the Company will do or cause to be done all things necessary to preserve and keep in full force and effect its corporate existence and the corporate, partnership or other existence of each Subsidiary in accordance with the respective organizational documents of each Subsidiary and the rights (charter and statutory), licenses and franchises of the Company and its Subsidiaries; provided, however, that the Company shall not be required to preserve any such right, license or franchise, or the corporate, partnership or other existence of any Subsidiary, if the Board of Directors shall determine that the preservation thereof is no longer desirable in the conduct of the business of the Company and its Subsidiaries taken as a whole and that the loss thereof is not adverse in any material respect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and shall cause each of its Subsidiaries to, pay prior to delinquency all taxes, assessments and governmental levies, except as contested in good faith and by appropriate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Additional Interest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is required to pay additional interest to Holders of Securities pursuant to Section 6.02(b) hereof, the Company shall provide a direction or order in the form of a written notice to the Trustee (and if the Trustee is not the Paying Agent, the Paying Agent) of the Company’s obligation to pay such additional interest no later than [ ] Business Days prior to date on which any such additional interest is scheduled to be paid. Such notice shall set forth the amount of additional interest to be paid by the Company on such payment date and direct the Trustee (or, if the Trustee is not the Paying Agent, the Paying Agent) to make payment to the extent it receives funds from the Company to do so. The Trustee shall not at any time be under any duty or responsibility to any Holder to determine whether additional interest is payable, or with respect to the nature, extent, or calculation of the amount of additional interest owed, or with respect to the method employed in such calculation of additional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Further Instruments and 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execute and deliver such further instruments and do such further acts as may be reasonably necessary or proper to carry out more effectively the purposes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When Company May Merge,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consolidate with, enter into a binding share exchange, or merge into any other Person in a transaction in which it is not the surviving entity, or sell, assign, convey, transfer or lease or otherwise dispose of all or substantially all of its properties and assets to any Person (a “successor person”),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successor person (if any) is a corporation, partnership, trust or other entity organized and validly existing under the laws of the Cayman Islands and expressly assumes by a supplemental indenture executed and delivered to the Trustee, in form satisfactory to the Trustee, the due and punctual payment of the principal of, and any interest on, all Securities and the performance or observance of every covenant of this Indenture on the part of the Company to be performed or observed;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the transaction, no Default or Event of Default, shall have occurred and be continuing;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delivered to the Trustee, prior to the consummation of the proposed transaction, an Officers’ Certificate to the foregoing effect and an Opinion of Counsel stating that the proposed transaction and such supplemental indenture comply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Successor Corporation Substituted.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or any sale, lease, conveyance or other disposition of all or substantially all of the assets of the Company in accordance with Section 5.01, the successor person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lease, conveyance or other disposition of all or substantially all of the assets of the Company shall not be released from the obligation to pay the principal of and interest, if any, on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AND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any principal of any Security of that Series at its Maturity;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deposit of any sinking fund payment, when and as due in respect of any Security of that Series;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fails to perform or comply with any of its other covenants or agreements contained in the Securities or in this Indenture (other than a covenant or agreement a default in whose performance or whose breach is specifically dealt with in clauses (a), (b) or (c) of this Section 6.01) and the default continues for 60 days after notice is given as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or any other payment obligation of, the Company or any Subsidiary (an “Instrument”) with a principal amount then, individually or in the aggregate, outstanding in excess of $[ ], whether such indebtedness now exists or shall hereafter be created, is not paid at Maturity or when otherwise due or is accelerated, and such indebtedness is not discharged, or such default in payment or acceleration is not cured or rescinded, within a period of 30 days after there shall have been given, by registered or certified mail, to the Company by the Trustee or to the Company and the Trustee by the Holders of at least [ ]% in aggregate principal amount of the outstanding Securities of that Series a written notice specifying such default and requiring the Company to cause such indebtedness to be discharged or cause such default to be cured or waived or such acceleration to be rescinded or annulled and stating that such notice is a “Notice of Default” hereunder. A payment obligation (other than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the Company or any Subsidiary) shall not be deemed to have matured, come due, or been accelerated to the extent that it is being disputed by the relevant obligor or obligors in good faith. For the avoidance of doubt, the Maturity of an Instrument is the Maturity as set forth in that Instrument, as it may be amended from time to time in accordance with the terms of that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or any Subsidiary fails to pay one or more final and non-appealable judgments entered by a court or courts of competent jurisdiction, the aggregate uninsured or unbonded portion of which is in excess of $[ ], if the judgments are not paid, discharged, waived or stayed within [ ]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or any Subsidiary of the Company, pursuant to or within the meaning of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entry of an order for relief against it in an involuntary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Custodian of it or for all or substantially all of its property;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its creditors;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or generally is unable to pay its debts as the same become due;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court of competent jurisdiction enters an order or decree under any Bankruptcy Law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Company or any of its Subsidiaries in an involuntary case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Custodian of the Company or any of its Subsidiaries for all or substantially all of the property of the Company or any such Subsidiary;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liquidation of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case of each of clause (i), (ii) and (iii), the order or decree remains unstayed and in effect for [ ] consecutive days;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other Event of Default provided with respect to Securities of that Series, which is specified in a Board Resolution, a supplemental indenture hereto or an Officers’ Certificate, in accordance with Section 2.02(i).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under clause (d) above is not an Event of Default until the Trustee notifies the Company, or the Holders of at least [ ]% in aggregate principal amount of the Securities then outstanding notify the Company and the Trustee, in writing of the default, and the Company does not cure the default within 60 days after receipt of such notice. The notice given pursuant to this Section 6.01 must specify the default, demand that it be remedied and state that the notice is a “Notice of Default.” When any default under this Section 6.01 is cured, it ceases.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charged with knowledge of any Event of Default unless written notice thereof shall have been given to a Trust Officer at the Corporate Trust Office of the Trustee by the Company, a Paying Agent, any Holder or any agent of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Acceleration of Maturity; Rescission and Annulment.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(other than an Event of Default specified in clause (g) or (h) of Section 6.01) occurs and is continuing with respect to any Securities of any Series, then in every such case, the Trustee may, by notice to the Company, or the Holders of at least 25% in aggregate principal amount of the Securities of that Series (or, if any Securities of that Series are Discount Securities, such portion of the principal amount as may be specified in the terms of such Securities) then outstanding may, by notice to the Company and the Trustee, declare all unpaid principal of, and accrued and unpaid interest on to the date of acceleration, the Securities of that Series then outstanding (if not then due and payable) to be due and payable upon any such declaration, and the same shall become and be immediately due and payable. If an Event of Default specified in clause (g) or (h) of Section 6.01 occurs, all unpaid principal of the Securities then outstanding, and all accrued and unpaid interest thereon to the date of acceleration, shall ipso facto become and be immediately due and payable without any declaration or other act on the part of the Trustee or any Holder. The Holders of a majority in aggregate principal amount of the Securities of that Series then outstanding by notice to the Trustee may rescind an acceleration of such Securities of that Series and its consequences if (a) all existing Events of Default, other than the nonpayment of the principal of the Securities which has become due solely by such declaration of acceleration, have been cured or waived; (b) to the extent the payment of such interest is lawful, interest (calculated at the Default Rate) on overdue installments of interest and overdue principal, which has become due otherwise than by such declaration of acceleration, has been paid; (c) the rescission would not conflict with any judgment or decree of a court of competent jurisdiction; and (d) all payments due to the Trustee and any predecessor Trustee under Section 7.07 have been made. No such rescission shall affect any subsequent default or impair any right consequent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of provision of this Article 6, at the election of the Company in its sole discretion, the sole remedy under this Indenture for an Event of Default relating to the failure to comply with Section 4.02, and for any failure to comply with the requirements of Section 314(a)(1) of the TIA, will consist, for the 180 days after the occurrence of such an Event of Default, exclusively of the right to receive additional interest on the Securities at a rate equal to 0.50% per annum of the aggregate principal amount of the Securities then outstanding up to, but not including, the 181st day thereafter (or, if applicable, the earlier date on which the Event of Default relating to Section 4.02 is cured or waived). Any such additional interest will be payable in the same manner and on the same dates as the stated interest payable on the Securities. In no event shall additional interest accrue under the terms of this Indenture at a rate in excess of 0.50% per annum, in the aggregate, for any violation or default caused by the failure of the Company to be current in respect of its Exchange Act reporting obligations. If the Event of Default is continuing on the 181st day after an Event of Default relating to a failure to comply with Section 4.02, the Securities will be subject to acceleration as provided in this Section 6.02. The provisions of this Section 6.02(b) will not affect the rights of Holders in the event of the occurrence of any other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elect to pay additional interest as the sole remedy during the first 180 days after the occurrence of an Event of Default relating to the failure to comply with Section 4.02 in accordance with the immediately preceding paragraph, the Company shall notify all Holders and the Trustee and Paying Agent of such election on or before the close of business on the fifth Business Day after the date on which such Event of Default otherwise would occur. Upon a failure by the Company to timely give such notice or pay additional interest, the Securities will be immediately subject to acceleration as otherwise provided in this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Collection of Indebtedness and Suits for Enforcement by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in the payment of principal, interest, if any, specified in clause (a) or (b) of Section 6.01 occurs and is continuing, the Trustee may recover judgment in its own name and as trustee of an express trust against the Company or another obligor on the Securities for the whole amount of principal, and accrued interest remaining unpaid, if any, together with, to the extent that payment of such interest is lawful, interest on overdue principal, on overdue installments of interest, if any, in each case at the Default Rate,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Trustee May File Proofs of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Trustee May Enforce Claims Without Possession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Application of Money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the payment of all amounts due the Trustee under Section 7.07;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Limitation on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to institute any proceeding, judicial or otherwise, with respect to this Indenture, or for the appointment of a receiver or trustee, or for any other remedy hereunder (except actions for payment of overdue principal and interest),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written notice to the Trustee of a continuing Event of Default with respect to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not less than [ ]% in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Trustee indemnity satisfactory to it against the costs, expenses and liabilities to be incurred in compliance with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 ] days after its receipt of such notice, request and offer of indemnity has failed to institute any such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Trustee during such [ ]-day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Unconditional Right of Holders to Receive Principal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Restoration of Rights and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Rights and Remedies Cumulative.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with respect to the replacement or payment of mutilated, destroyed, lost or 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Delay or Omission Not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Control by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provisions of Section 6.01, the Trustee shall have the right to decline to follow any such direction if the Trustee in good faith shall, by a Responsible Officer of the Trustee, determine that the proceeding so directed would involve the Trustee in personal liability or would be unduly prejudicial to the rights of another Holder or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Waiver of Past Defaults.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9.02, 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Undertaking for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 ]%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Duties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his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need perform only those duties that are specifically set forth in this Indenture and no implied duties, covenants or obligations shall be deemed to be imposed upon the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on their face to the requirements of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liability for its own its own negligent action, its own negligent failure to act or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does not limit the effect of paragraph (b) of Section 7.01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provision of this Indenture that in any way relates to the Trustee is subject to paragraph (a), (b) and (c)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refuse to perform any duty or exercise any right or power unless it receives an indemnity satisfactory to it against any loss, liability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provision of this Indenture shall require the Trustee to risk or expend its own funds or otherwise incur liability, financial or otherwise, in the performance of any of its duties, or in the exercise of any of its rights or powers, if it shall have reasonable grounds for believing that repayment of such funds or indemnity satisfactory to it against such risk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Paying Agent, the Registrar and any authenticating agent shall be entitled to the same rights, indemnities, protections and immunities afforded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have no duty to monitor the performance or compliance of the Company with its obligations hereunder or any under supplement hereto, nor shall it have any liability in connection with the malfeasance or nonfeasance by the Company. The Trustee shall have no liability in connection with compliance by the Company with statutory or regulatory requirements related to this Indenture, any supplement or any Securities issued pursuant hereto 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Rights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and shall be fully protected in acting or refraining from acting as a result of its reasonable belief that any resolution, certificate, statement, instrument, opinion, report, notice, request, consent, order, direction, approval or other paper or document was genuine and had been signed or presented by the proper person. The Trustee need not investigate any fact or matter stated in the document, but the Trustee, in its discretion, may make such further inquiry or investigation into such facts or matters as it sees 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agents and shall not be responsible for the misconduct or negligence of, or for the supervision of, any agent appointed with due care. No Depository shall be deemed an agent of the Trustee and the Trustee shall not be responsible for any act or omission by any Depository.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which it believes to be authorized or within its rights or powers.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be under no obligation to exercise any of the rights or powers vested in it by or pursuant to this Indenture at the request, order or direction of any of the Holders of Securities, unless such Holders shall have offered to the Trustee reasonable security or indemnity satisfactory to it against the costs, expenses and liabilities which might be incurred by it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Individual Rights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an Affiliate with the same rights it would have if it were not Trustee. Any Agent may do the same with like rights. The Trustee is also subject to Sections 7.10 and 7.11.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Trustee’s Disclaimer.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representation as to the validity or adequacy of this Indenture or the Securities and the recitals contained herein and in the Securities shall be taken as statements of the Company and not of the Trustee, and the Trustee has no responsibility for such recitals. The Trustee shall not be accountable for the Company’s use or application of the proceeds from the Securities or for monies paid over to the Company pursuant to this Indenture, and it shall not be responsible for any statement in the Securities other than its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Notice of Defaults.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occurs and is continuing with respect to the Securities of any Series and if a Responsible Officer of the Trustee has knowledge or receives written notice of such event, the Trustee shall mail to each Securityholder of the Securities of that Series, notice of a Default or Event of Default within [ ] days after it occurs or, if later, after a Responsible Officer of the Trustee has actual knowledge of such Default or Event of Default. Except in the case of a Default or Event of Default in payment of principal of or interest on any Security of any Series, including any additional interest that may become payable pursuant to Section 6.02(b), the Trustee may withhold the notice so long as the Trustee in good faith determines that withholding the notice is in the interests of Securityholders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Reports by Trustee to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 ] days after [ ] in each year, the Trustee shall transmit by mail to all Securityholders, as their names and addresses appear on the register kept by the Registrar, a brief report dated as of such [ ], in accordance with, and to the extent required under, TIA Section 313.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Compensation and Indemnity.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Trustee from time to time such compensation for its services as shall be agreed upon in writing. The Trustee’s compensation shall not be limited by any law on compensation of a trustee of an express trust. The Company shall reimburse the Trustee upon request for all reasonable out-of-pocket expenses, disbursements and advances incurred by it. Such expenses shall include the reasonable compensation and expenses of the Trustee’s agents, counsel and other persons not regularly in its employ.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defend and hold harmless the Trustee and its officers, directors, employees, representatives and agents, from and against and reimburse the Trustee for any and all claims, expenses, obligations, liabilities, losses, damages, injuries (to person, property, or natural resources), penalties, stamp or other similar taxes, actions, suits, judgments, reasonable costs and expenses (including reasonable attorney’s and agent’s fees and expenses) of whatever kind or nature regardless of their merit, demanded, asserted or claimed against the Trustee directly or indirectly relating to, or arising from, claims against the Trustee by reason of its participation in the transactions contemplated hereby, including without limitation all reasonable costs required to be associated with claims for damages to persons or property, and reasonable attorneys’ and consultants’ fees and expenses and court costs except to the extent caused by the Trustee’s negligence or willful misconduct. The provisions of this Section 7.07 shall survive the termination of this Agreement or the earlier resignation or removal of the Trustee. The Company shall defend any claim and the Trustee shall cooperate in the defense. The Trustee may have separate counsel and the Company shall pay the reasonable fees and expenses of such counsel. The Company need not pay for any settlement made without its consent, which consent shall not be unreasonably withheld or delayed. This indemnification shall apply to officers, directors, employees, shareholders and agents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need not reimburse any expense or indemnify against any loss liability incurred by the Trustee or by any officer, director, employee, shareholder or agent of the Trustee through negligence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the Trustee shall have a lien prior to the Securities of any Series on all money or property held or collected by the Trustee, except that held in trust to pay principal and interest on particular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6.01(f) or (g) occurs, the expenses and the compensation for the services are intended to constitute expenses of administration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Replacement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with respect to the Securities of one or more Series by so notifying the Company. The Holders of a majority in principal amount of the Securities of any Series may remove the Trustee with respect to that Series by so notifying the Trustee and the Company. The Company may remove the Trustee with respect to Securities of one or more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a bankrupt or an insolvent or an order for relief is entered with respect to the Trustee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one or more Series does not take office within [ ] days after the retiring Trustee resigns or is removed, the retiring Trustee, the Company or the Holders of at least [ ]% in principal amount of the Securities of the applicable Series may petition any court of competent jurisdiction for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and subject to the payment of any and all amounts then due and owing to the retiring Trustee,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7.08, the Company’s obligations under Section 7.07 hereof shall continue for the benefit of the retiring trustee with respect to expenses and liabilities incurred by it prior to such replacement.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Successor Trustee by Merger,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the successor corporation without any further act shall be the successor Trustee with the same effect as if the successor Trustee had been named as the Trustee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Eligibility; Disqualification.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Section 310(a)(1), (2) and (5). The Trustee shall always have a combined capital and surplus of at least $[ ] as set forth in its most recent published annual report of condition. The Trustee shall comply with TIA Section 310(b).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Preferential Collection of Claims Against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TIA Section 311(a), excluding any creditor relationship listed in TIA Section 311(b). A Trustee who has resigned or been removed shall be subject to TTA Section 311(a) to the extent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AND DISCHARGE;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Satisfaction and Discharge of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Order cease to be of further effect (except as hereinafter provided in this Section 8.01), and the Trustee, on the demand of and at the expense of the Company, shall execute proper instruments acknowledging satisfaction and discharge of this Indenture,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Securities theretofore authenticated and delivered (other than Securities that have been destroyed, lost or stolen and that have been replaced or paid) have been delivered to the Trustee for cancellation;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such Securities not theretofore delivered to the Trustee for cancellation have become due and payable,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have become due and payable,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 become due and payable at their Stated Maturity within [ ],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are to be called for redemption within [ ] under arrangements satisfactory to the Trustee for the giving of notice of redemption by the Trustee in the name, and at the expense, of the Company,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are deemed paid and discharged pursuant to section 8.03, as applicable; and the Company, in the case of (1), (2) or (3) above, has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paid or caused to be paid all other sums payable hereunder by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meeting the applicable requirements of Sections 10.04 and 10.05 and each stating that all conditions precedent herein relating to the satisfaction and discharge of this Indenture have been complied with and the Trustee receives written demand from the Company to 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to the Trustee under Section 7.07, and, if money shall have been deposited with the Trustee pursuant to clause (a) of this Section, the provisions of Sections 2.04, 2.07, 2.08, 8.01 8.02 and 8.05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Application of Trust Funds;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8.03 or 8.04.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pay and shall indemnify the Trustee and the Agents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in accordance with the terms of this Indenture, deliver or pay to the Company from time to time, upon Company Request and at the expense of the Company any U.S. Government Obligations or Foreign Government Obligations or money held by it pursuant to this Indenture as provided in Sections 8.03 or 8.04 which, in the opinion of a nationally recognized firm of independent certified public accountants, expressed in a written certification thereof and delivered to the Trustee together with such Company Request,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Legal Defeasance of Securities of any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8.03 is otherwise specified, pursuant to Section 2.02(s), to be inapplicable to Securities of any Series, the Company shall be deemed to have paid and discharged the entire indebtedness on all the outstanding Securities of such Series on the [ ]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Sections 2.04, 2.07, 2.08, 2.14, 8.02, 8.03 and 8.05;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 and immunities of the Trustee hereunder; provided that,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deposited or caused to be deposited irrevocably with the Paying Agent as trust funds in trust for the purpose of making the following payments, specifically pledged as security for and dedicated solely to the benefit of the Holders of such Securities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public accountants expressed in a written certification thereof delivered to the Trustee and the Paying Agent, to pay and discharge each installment of principal (including mandatory sinking fund or analogous payments) of and interest, if any, on all the Securities of such Series on the dates such installments of interest or principal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Default or Event of Default with respect to the Securities of such Series shall have occurred and be continuing on the date of such deposit or during the period ending on the [ ] day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deposit shall not result in the trust arising from such deposit constituting an investment company (as defined in the Investment Company Act of 1940, as amended), or such trust shall be qualified under such Act or exempt from regulation thereunder;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have delivered to the Trustee an Officers’ Certificate and an Opinion of Counsel, each stating that all conditions precedent provided for relating to the defeasance contemplated by this Section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Covenant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Section 8.04 is otherwise specified pursuant to Section 2.02(s) to be inapplicable to Securities of any Series, on and after the [ ] day after the date of the deposit referred to in subparagraph (a) hereof, the Company may omit to comply with any term, provision or condition set forth under Sections 4.02, 4.03, 4.04, 4.05, 4.06, and 5.01 as well as any additional covenants contained in a supplemental indenture hereto for a particular Series of Securities or a Board Resolution or an Officers’ Certificate delivered pursuant to Section 2.02(s) (and the failure to comply with any such covenants shall not constitute a Default or Event of Default under Section 6.01) and the occurrence of any event described in clause (e) of Section 6.01 shall not constitute a Default or Event of Default hereunder, with respect to the Securities of such Series, provided that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8.04, the Company has deposited or caused to be irrevocably deposited (except as provided in Section 8.02(c)) with the Paying Agent as trust funds in trust, specifically pledged as security for, and dedicated solely to, the benefit of the Holders of such Securities (i)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certified public accountants expressed in a written certification thereof delivered to the Paying Agent, to pay principal and interest, if any, on and any mandatory sinking fund in respect of the Securities of such Series on the dates such installments of interest or principal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 or during the period ending on the [ ] day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delivered to the Trustee an Opinion of Counsel confirming that Holders of the Securities of such Series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delivered to the Trustee an Officers’ Certificate and an Opinion of Counsel, each stating that all conditions precedent herein provided for relating to the defeasance contemplated by this Section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Repayment to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all liability of the Paying Agent with respect to that money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AND WAIVERS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Without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amend or supplement this Indenture or the Securities of one or more Series without the consent of any Securityholder: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provide for uncertificated Securities in addition to or in place of certificated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make any change that does not adversely affect the rights of any Securityholder;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provide for the issuance of and establish the form and terms and conditions of Securities of any Series as permitted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comply with requirements of the TIA and any rules promulgated under the TIA;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add to the covenants of the Company for the equal and ratable benefit of the Holders or to surrender any right, power or option conferred upon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supplement made solely to conform the provisions of this Indenture or the Securities of any Series to the description thereof contained in the final prospectus relating to such Series will be deemed not to adversely affect the rights of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With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enter into a supplemental indenture with the written consent of the Holders of at least a majority in principal amount of the outstanding Securities of all Series affected by such supplemental indenture, taken together as one class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all Series affected by such waiver by notice to the Trustee, taken together as one class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Securityholder affected, an amendment or waiver may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amount of Securities whose Holders must consent to an amendment, supplement or waiver, except to increase any such amount or to provide that certain provisions of this Indenture cannot be modified, amended or waived without the consent of the Holder of each outstanding Security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amount of interest, or change the interest payment time, on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waive a redemption payment or alter the redemption provisions (other than any alteration that would not materially adversely affect the legal rights of any Holder under this Indenture) or the price at which the Company is required to offer to purchase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principal or change the Stated Maturity of any Security or reduce the amount of, or postpone the date fixed for, the payment of any sinking fund or analogous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principal amount payable of any Security upon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the place or currency of payment of principal of or interest, if any, on any Security other than that stated in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 the right of any Holder to receive payment of principal or, or interest on, the Securities of such Holder on or after the due dates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impair the right to institute suit for the enforcement of any payment on, or with respect to,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make any change in Sections 10.15 or 10.16;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change the ranking of the Securities;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make any other change which is specified in a Board Resolution, a supplemental indenture hereto or an Officers’ Certificate as a limitation under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amendment or waiver shall always be subject to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Compliance with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this Indenture or the Securities of one or more Series shall be set forth in a supplemental indenture hereto that complies with the TIA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Revocation and Effect of Consents.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the amendment or waiver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waiver once effective shall bind every Securityholder of each Series affected by such amendment or waiver unless it is of the type described in any of clauses (a) through (g) of Section 9.03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Notation on or Exchange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amendment, supplement or waiver changes the terms of a Security, the Trustee may require the Holder of the Security to deliver it to the Trustee and the Trustee may place an appropriate notation on the Security about the changed terms and return it to the Holder. Alternatively, if the Company or the Trustee so determines, the Company shall issue and the Trustee shall authenticate upon request new Securities of that Series that reflect the changed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 Trustee Protected.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or the modifications thereby of the trusts created by this Indenture, the Trustee shall be entitled to receive, and (subject to Section 7.01) shall be fully protected in relying upon, an Opinion of Counsel or an Officer’s Certificate, or both stating that the execution of such supplemental indenture is authorized or permitted by this Indenture. The Trustee shall sign all supplemental indentures, except that the Trustee need not sign any supplemental indenture that adversely affects its rights, duties or indemnities.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 Effect of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under this Article, this Indenture shall be modified in accordance therewith, and each such supplemental indenture shall form part of this Indenture for all purposes with respect to the relevant Series; and every Holder of Securities of the relevant Series theretofore or thereafter authenticated and delivered hereunder shall be bound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Trust Indenture Act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limits, qualifies, or conflicts with another provision which is required or deemed to be included in this Indenture by the TIA, such required or deemed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the Trustee, the Paying Agent or the Registrar to another is duly given if in writing and delivered in person or mailed by first-class 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Registrar or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Trustee and each Agent by notice to each other may designate additional or different addresses for subsequent notices or communications.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published in the manner provided above, within the time prescribed, it is duly given, whether or not the Securityholder receives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mails a notice or communication to Securityholders, it will mail a copy to the Trustee and each Agent at the same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 notice is required to be given by the Company, such notice may be given by the Trustee or Registrar on the Company’s behalf (and the Company will make any notice it is required to give to Holders available on its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Communication by Holders with Other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any Series may communicate pursuant to TIA Section 312(b) with other Securityholders of that Series or any other Series with respect to their rights under this Indenture or the Securities of that Series or all Series. The Company, the Trustee, the Registrar and anyone else shall have the protection of TIA Section 312(c).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Certificate and Opinion as to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counsel, all such conditions precedent (including any covenants, compliance with which constitutes a condition precedent)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Statements Required in Certificate 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a certificate provided pursuant to TIA Section 314(a)(4)) shall comply with the provisions of TIA Section 314(e) and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Record Date for Vote or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in the event deposits have been made pursuant to Section 11.02, the Trustee) may set a record date for purposes of determining the identity of Holders entitled to vote or consent to any action by vote or consent authorized or permitted under this Indenture, which record date shall not be more than [ ] days prior to the date of the commencement of solicitation of such action. Notwithstanding the provisions of Section 9.05, if a record date is fixed, those persons who were Holders of Securities at the close of business on such record date (or their duly designated proxies), and only those persons, shall be entitled to take such action by vote or consent or to revoke any vote or consent previously given, whether or not such persons continue to be Holders after such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 Rules by Trustee and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 meeting of Securityholders of one or more Series. Any Agent may make reasonable rules and set reasonable requirements for its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Legal Holidays.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Board Resolution, Officers’ Certificate or supplemental indenture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 No Recourse Against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officer, employee or shareholder,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and by the parties hereto in separate counterparts, each of which when so executed shall be deemed to be an original and all of which taken together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Governing Laws and Submission to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SHALL BE GOVERNED BY THE LAWS OF THE STATE OF NEW YORK EXCLUDING ANY RULE OF LAW THAT WOULD CAUSE THE APPLICATION OF THE LAWS OF ANY JURISDICTION OTHER THAN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that any legal suit, action or proceeding arising out of or based upon this Indenture may be instituted in any federal or state court sitting in New York City, and, to the fullest extent permitted by law, waives any objection which it may now or hereafter have to the laying of venue of any such proceeding, and irrevocably submits to the non-exclusive jurisdiction of such court in any suit, action or proceeding. The Company, as long as any Securities remain outstanding or the parties hereto have any obligation under this Indenture, shall have an authorized agent in the United States upon whom process may be served in any such legal action or proceeding. Service of process upon such agent and written notice of such service mailed or delivered to it shall to the extent permitted by law be deemed in every respect effective service of process upon it in any such legal action or proceeding and, if it fails to maintain such agent, any such process or summons may be served by mailing a copy thereof by registered mail, or a form of mail substantially equivalent thereto, addressed to it at its address as provided for notices hereunder. The Company hereby appoints Jun He Law Offices LLC, 45 Rockefeller Plaza, Suite 1919, New York, NY 10111, as its agent for such purposes, and covenants and agrees that service of process in any legal action or proceeding may be made upon it at such office of such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No Adverse Interpretation of Other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or debt agreement of the Company or a Subsidiary. Any such indenture, loan or debt agreement may not be used to interpret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Securities shall bind its successor. All agreements of the Trustee in this Indenture shall bind its successor.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 Severability.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 Table of Contents, Headings,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 Securities in a Foreign Currency or in ECU.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Board Resolution, a supplemental indenture hereto or an 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10.16,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Company and all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 Judgment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10.18. Compliance with Applicable Anti-Terrorism and Money Laundering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laws, rules, regulations and executive orders in effect from time to time applicable to banking institutions, including those relating to the funding of terrorist activities and money laundering (“Applicable Law”), the Trustee is required to obtain, verify and record certain information relating to individuals and entities which maintain a business relationship with the Trustee. Accordingly, each of the parties agree to provide to the Trustee, upon its request from time to time such identifying information and documentation as may be available for such party in order to enable the Trustee to comply with the Applicable Law.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Applicability of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shall be applicable to any sinking fund for the retirement of the Securities of a Series, except as otherwise permitted or required by any form of Security of such Series issued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Satisfaction of Sinking Fund Payments with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Registrar, together with an Officers’ Certificate with respect thereto, not later than [ ] days prior to the date on which the Registrar begins the process of selecting Securities for redemption, and shall be credited for such purpose by the Registrar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 ], the Registrar need not call Securities of such Series for redemption, except upon receipt of a Company Order that such action be taken, and such cash payment shall be held by the Paying Agent and applied to the next succeeding sinking fund payment, provided, however, that the Paying Agent shall from time to time upon receipt of a Company Order pay over and deliver to the Company any cash payment so being held by the Paying Agent upon delivery by the Company to the Registrar of Securities of that Series purchased by the Company having an unpaid principal amount equal to the cash payment required to be released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Redemption of Securities for 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 ] days (unless otherwise indicated in the Board Resolution, supplemental indenture hereto or Officers’ Certificate in respect of a particular Series of Securities) prior to each sinking fund payment date for any Series of Securities, the Company will deliver to the Trustee and the Paying Agent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 ]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stated in Sections 3.04, 3.05 and 3.06.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is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605"/>
        <w:gridCol w:w="2580"/>
        <w:gridCol w:w="75"/>
      </w:tblGrid>
      <w:tr>
        <w:trPr/>
        <w:tc>
          <w:tcPr>
            <w:tcW w:w="3260" w:type="dxa"/>
            <w:gridSpan w:val="3"/>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INTERCONT(CAYMAN) LIMITED</w:t>
            </w:r>
          </w:p>
        </w:tc>
      </w:tr>
      <w:tr>
        <w:trPr/>
        <w:tc>
          <w:tcPr>
            <w:tcW w:w="31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8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5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25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280" w:type="dxa"/>
        <w:jc w:val="left"/>
        <w:tblInd w:w="0" w:type="dxa"/>
        <w:tblLayout w:type="fixed"/>
        <w:tblCellMar>
          <w:top w:w="0" w:type="dxa"/>
          <w:left w:w="0" w:type="dxa"/>
          <w:bottom w:w="0" w:type="dxa"/>
          <w:right w:w="0" w:type="dxa"/>
        </w:tblCellMar>
      </w:tblPr>
      <w:tblGrid>
        <w:gridCol w:w="605"/>
        <w:gridCol w:w="600"/>
        <w:gridCol w:w="75"/>
      </w:tblGrid>
      <w:tr>
        <w:trPr/>
        <w:tc>
          <w:tcPr>
            <w:tcW w:w="1205"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60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60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40" w:type="dxa"/>
        <w:jc w:val="left"/>
        <w:tblInd w:w="0" w:type="dxa"/>
        <w:tblLayout w:type="fixed"/>
        <w:tblCellMar>
          <w:top w:w="0" w:type="dxa"/>
          <w:left w:w="0" w:type="dxa"/>
          <w:bottom w:w="0" w:type="dxa"/>
          <w:right w:w="0" w:type="dxa"/>
        </w:tblCellMar>
      </w:tblPr>
      <w:tblGrid>
        <w:gridCol w:w="605"/>
        <w:gridCol w:w="360"/>
        <w:gridCol w:w="7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1310"/>
        <w:gridCol w:w="1169"/>
        <w:gridCol w:w="75"/>
      </w:tblGrid>
      <w:tr>
        <w:trPr/>
        <w:tc>
          <w:tcPr>
            <w:tcW w:w="24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br/>
              <w:t>as Registrar and Paying Agent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6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169"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169"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40" w:type="dxa"/>
        <w:jc w:val="left"/>
        <w:tblInd w:w="0" w:type="dxa"/>
        <w:tblLayout w:type="fixed"/>
        <w:tblCellMar>
          <w:top w:w="0" w:type="dxa"/>
          <w:left w:w="0" w:type="dxa"/>
          <w:bottom w:w="0" w:type="dxa"/>
          <w:right w:w="0" w:type="dxa"/>
        </w:tblCellMar>
      </w:tblPr>
      <w:tblGrid>
        <w:gridCol w:w="605"/>
        <w:gridCol w:w="360"/>
        <w:gridCol w:w="7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3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29696801ex5-1.htm"/>
      <w:bookmarkStart w:id="32" w:name="ksea029696801ex51"/>
      <w:bookmarkEnd w:id="31"/>
      <w:bookmarkEnd w:id="32"/>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57275"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1057275" cy="4857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2420"/>
        <w:gridCol w:w="935"/>
        <w:gridCol w:w="2795"/>
      </w:tblGrid>
      <w:tr>
        <w:trPr/>
        <w:tc>
          <w:tcPr>
            <w:tcW w:w="2420" w:type="dxa"/>
            <w:vMerge w:val="restart"/>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Intercont (Cayman) Limited</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27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+852 3656 6054/+852 3656 6073</w:t>
            </w:r>
          </w:p>
        </w:tc>
      </w:tr>
      <w:tr>
        <w:trPr/>
        <w:tc>
          <w:tcPr>
            <w:tcW w:w="2420" w:type="dxa"/>
            <w:vMerge w:val="continue"/>
            <w:tcBorders/>
            <w:vAlign w:val="center"/>
          </w:tcPr>
          <w:p>
            <w:pPr>
              <w:pStyle w:val="Normal"/>
              <w:bidi w:val="0"/>
              <w:jc w:val="left"/>
              <w:rPr/>
            </w:pPr>
            <w:r>
              <w:rPr/>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E: </w:t>
            </w:r>
          </w:p>
        </w:tc>
        <w:tc>
          <w:tcPr>
            <w:tcW w:w="27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nathan.powell@ogier.com/</w:t>
              <w:br/>
              <w:t>rachel.huang@ogier.com</w:t>
            </w:r>
          </w:p>
        </w:tc>
      </w:tr>
      <w:tr>
        <w:trPr/>
        <w:tc>
          <w:tcPr>
            <w:tcW w:w="2420" w:type="dxa"/>
            <w:vMerge w:val="continue"/>
            <w:tcBorders/>
            <w:vAlign w:val="center"/>
          </w:tcPr>
          <w:p>
            <w:pPr>
              <w:pStyle w:val="Normal"/>
              <w:bidi w:val="0"/>
              <w:jc w:val="left"/>
              <w:rPr/>
            </w:pPr>
            <w:r>
              <w:rPr/>
            </w:r>
          </w:p>
        </w:tc>
        <w:tc>
          <w:tcPr>
            <w:tcW w:w="935" w:type="dxa"/>
            <w:tcBorders/>
            <w:vAlign w:val="center"/>
          </w:tcPr>
          <w:p>
            <w:pPr>
              <w:pStyle w:val="TableContents"/>
              <w:bidi w:val="0"/>
              <w:spacing w:before="0" w:after="283"/>
              <w:jc w:val="right"/>
              <w:rPr/>
            </w:pPr>
            <w:r>
              <w:rPr/>
              <w:t> </w:t>
            </w:r>
          </w:p>
        </w:tc>
        <w:tc>
          <w:tcPr>
            <w:tcW w:w="2795" w:type="dxa"/>
            <w:tcBorders/>
            <w:vAlign w:val="center"/>
          </w:tcPr>
          <w:p>
            <w:pPr>
              <w:pStyle w:val="TableContents"/>
              <w:bidi w:val="0"/>
              <w:spacing w:before="0" w:after="283"/>
              <w:jc w:val="both"/>
              <w:rPr/>
            </w:pPr>
            <w:r>
              <w:rPr/>
              <w:t> </w:t>
            </w:r>
          </w:p>
        </w:tc>
      </w:tr>
      <w:tr>
        <w:trPr/>
        <w:tc>
          <w:tcPr>
            <w:tcW w:w="2420" w:type="dxa"/>
            <w:vMerge w:val="continue"/>
            <w:tcBorders/>
            <w:vAlign w:val="center"/>
          </w:tcPr>
          <w:p>
            <w:pPr>
              <w:pStyle w:val="Normal"/>
              <w:bidi w:val="0"/>
              <w:jc w:val="left"/>
              <w:rPr/>
            </w:pPr>
            <w:r>
              <w:rPr/>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Reference: </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NMP/RYH/518877.00001</w:t>
            </w:r>
          </w:p>
        </w:tc>
      </w:tr>
      <w:tr>
        <w:trPr/>
        <w:tc>
          <w:tcPr>
            <w:tcW w:w="242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right"/>
              <w:rPr/>
            </w:pPr>
            <w:r>
              <w:rPr/>
              <w:t> </w:t>
            </w:r>
          </w:p>
        </w:tc>
        <w:tc>
          <w:tcPr>
            <w:tcW w:w="2795" w:type="dxa"/>
            <w:tcBorders/>
            <w:vAlign w:val="center"/>
          </w:tcPr>
          <w:p>
            <w:pPr>
              <w:pStyle w:val="TableContents"/>
              <w:bidi w:val="0"/>
              <w:spacing w:before="0" w:after="283"/>
              <w:jc w:val="both"/>
              <w:rPr/>
            </w:pPr>
            <w:r>
              <w:rPr/>
              <w:t> </w:t>
            </w:r>
          </w:p>
        </w:tc>
      </w:tr>
      <w:tr>
        <w:trPr/>
        <w:tc>
          <w:tcPr>
            <w:tcW w:w="242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right"/>
              <w:rPr/>
            </w:pPr>
            <w:r>
              <w:rPr/>
              <w:t> </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 August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requested to provide you with an opinion on matters of Cayman Islands law in connection with the Company's registration statement on Form F-3, including all amendments or supplements thereto (including its exhibits,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to be filed by the Company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to date relating to the registration of up to US$200,000,000 of the following securities to be issued by the Company from time to time (together,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283"/>
              <w:jc w:val="both"/>
              <w:rPr/>
            </w:pPr>
            <w:r>
              <w:rPr/>
              <w:t xml:space="preserve">class A ordinary shares of par value US$0.0025 each in the capital of the Company (the </w:t>
            </w:r>
            <w:r>
              <w:rPr>
                <w:b/>
              </w:rPr>
              <w:t>Class A Ordinary Shares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 xml:space="preserve">warrants to purchase Class A Ordinary Shares or class B ordinary shares of par value US$0.0025 each of the Company (the </w:t>
            </w:r>
            <w:r>
              <w:rPr>
                <w:b/>
              </w:rPr>
              <w:t>Class B Ordinary Shares</w:t>
            </w:r>
            <w:r>
              <w:rPr/>
              <w:t xml:space="preserve">, together with the Class A Ordinary Shares, the </w:t>
            </w:r>
            <w:r>
              <w:rPr>
                <w:b/>
              </w:rPr>
              <w:t>Ordinary Shares</w:t>
            </w:r>
            <w:r>
              <w:rPr/>
              <w:t xml:space="preserve">) (the </w:t>
            </w:r>
            <w:r>
              <w:rPr>
                <w:b/>
              </w:rPr>
              <w:t>Warrants</w:t>
            </w:r>
            <w:r>
              <w:rPr/>
              <w:t xml:space="preserve">) issuable pursuant to the terms of a warrant agreement, warrant certificate to be entered into between the Company and a warrant agent for such Warrants thereunder, if any (together, the </w:t>
            </w:r>
            <w:r>
              <w:rPr>
                <w:b/>
              </w:rPr>
              <w:t>Warrant Documents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 xml:space="preserve">debt securities, including debentures, notes, bonds and other evidences of indebtedness that the Company may issue from time to time (the </w:t>
            </w:r>
            <w:r>
              <w:rPr>
                <w:b/>
              </w:rPr>
              <w:t>Debt Securities</w:t>
            </w:r>
            <w:r>
              <w:rPr/>
              <w:t xml:space="preserve">), to be issued pursuant to the applicable senior debt indenture, subordinated debt indenture, senior note or subordinated note to be entered into by the Company (collectively, the </w:t>
            </w:r>
            <w:r>
              <w:rPr>
                <w:b/>
              </w:rPr>
              <w:t>Debt Documents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(d)</w:t>
            </w:r>
          </w:p>
        </w:tc>
        <w:tc>
          <w:tcPr>
            <w:tcW w:w="9922" w:type="dxa"/>
            <w:tcBorders/>
            <w:vAlign w:val="center"/>
          </w:tcPr>
          <w:p>
            <w:pPr>
              <w:pStyle w:val="TableContents"/>
              <w:bidi w:val="0"/>
              <w:spacing w:before="0" w:after="283"/>
              <w:jc w:val="both"/>
              <w:rPr/>
            </w:pPr>
            <w:r>
              <w:rPr/>
              <w:t xml:space="preserve">rights to purchase Class A Ordinary Shares (the </w:t>
            </w:r>
            <w:r>
              <w:rPr>
                <w:b/>
              </w:rPr>
              <w:t>Rights</w:t>
            </w:r>
            <w:r>
              <w:rPr/>
              <w:t xml:space="preserve">) to be issued under a rights agreement and rights certificate to be entered into between the Company and one or more rights agent, if any (collectively, the </w:t>
            </w:r>
            <w:r>
              <w:rPr>
                <w:b/>
              </w:rPr>
              <w:t>Rights Documents</w:t>
            </w:r>
            <w:r>
              <w:rPr/>
              <w:t>); and/or</w:t>
            </w:r>
          </w:p>
        </w:tc>
      </w:tr>
    </w:tbl>
    <w:p>
      <w:pPr>
        <w:pStyle w:val="TextBody"/>
        <w:bidi w:val="0"/>
        <w:spacing w:before="0" w:after="0"/>
        <w:ind w:left="1440" w:right="0" w:hanging="720"/>
        <w:jc w:val="both"/>
        <w:rPr>
          <w:caps w:val="false"/>
          <w:smallCaps w:val="false"/>
        </w:rPr>
      </w:pPr>
      <w:r>
        <w:rPr>
          <w:caps w:val="false"/>
          <w:smallCaps w:val="false"/>
        </w:rPr>
        <w:t>  </w:t>
      </w:r>
    </w:p>
    <w:tbl>
      <w:tblPr>
        <w:tblW w:w="8495" w:type="dxa"/>
        <w:jc w:val="left"/>
        <w:tblInd w:w="0" w:type="dxa"/>
        <w:tblLayout w:type="fixed"/>
        <w:tblCellMar>
          <w:top w:w="0" w:type="dxa"/>
          <w:left w:w="0" w:type="dxa"/>
          <w:bottom w:w="0" w:type="dxa"/>
          <w:right w:w="0" w:type="dxa"/>
        </w:tblCellMar>
      </w:tblPr>
      <w:tblGrid>
        <w:gridCol w:w="3005"/>
        <w:gridCol w:w="1310"/>
        <w:gridCol w:w="1385"/>
        <w:gridCol w:w="2795"/>
      </w:tblGrid>
      <w:tr>
        <w:trPr/>
        <w:tc>
          <w:tcPr>
            <w:tcW w:w="300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Providing advice on British Virgin Islands,</w:t>
              <w:br/>
              <w:t>Cayman Islands and Guernsey laws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Floor 11 Central Tower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 Queen's Road 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Hong Kong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 +852 3656 6000</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 +852 3656 6001</w:t>
            </w:r>
          </w:p>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ogier.com</w:t>
            </w:r>
          </w:p>
        </w:tc>
        <w:tc>
          <w:tcPr>
            <w:tcW w:w="131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Partners</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Nicholas Plowman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Nathan Powell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Anthony Oakes</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Oliver Payne</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Kate Hodson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Nelson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Joanne Collett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Dennis Li</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Cecilia Li</w:t>
            </w:r>
          </w:p>
        </w:tc>
        <w:tc>
          <w:tcPr>
            <w:tcW w:w="13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Yuki Yan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Lin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Alan Wong</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Janice Chu</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Zhao Rong Ooi</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Rachel Huang**</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Florence Chan*</w:t>
            </w:r>
            <w:r>
              <w:rPr>
                <w:rFonts w:ascii="Times New Roman;Times;Serif" w:hAnsi="Times New Roman;Times;Serif"/>
                <w:b w:val="false"/>
                <w:i w:val="false"/>
                <w:caps w:val="false"/>
                <w:smallCaps w:val="false"/>
                <w:position w:val="5"/>
                <w:sz w:val="13"/>
                <w:sz w:val="16"/>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Richard Bennett**</w:t>
            </w:r>
            <w:r>
              <w:rPr>
                <w:rFonts w:ascii="Times New Roman;Times;Serif" w:hAnsi="Times New Roman;Times;Serif"/>
                <w:b w:val="false"/>
                <w:i w:val="false"/>
                <w:caps w:val="false"/>
                <w:smallCaps w:val="false"/>
                <w:position w:val="5"/>
                <w:sz w:val="13"/>
                <w:sz w:val="16"/>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James Bergstrom</w:t>
            </w:r>
            <w:r>
              <w:rPr>
                <w:rFonts w:ascii="Times New Roman;Times;Serif" w:hAnsi="Times New Roman;Times;Serif"/>
                <w:b w:val="false"/>
                <w:i w:val="false"/>
                <w:caps w:val="false"/>
                <w:smallCaps w:val="false"/>
                <w:position w:val="5"/>
                <w:sz w:val="13"/>
                <w:sz w:val="16"/>
              </w:rPr>
              <w:t>‡</w:t>
            </w:r>
          </w:p>
        </w:tc>
        <w:tc>
          <w:tcPr>
            <w:tcW w:w="27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admitted in New Zealand</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admitted in England and Wales</w:t>
            </w:r>
          </w:p>
          <w:p>
            <w:pPr>
              <w:pStyle w:val="TableContents"/>
              <w:bidi w:val="0"/>
              <w:spacing w:before="0" w:after="0"/>
              <w:ind w:left="0" w:right="0" w:hanging="0"/>
              <w:jc w:val="both"/>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16"/>
              </w:rPr>
              <w:t>not ordinarily resident in Hong Kong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283"/>
              <w:jc w:val="both"/>
              <w:rPr/>
            </w:pPr>
            <w:r>
              <w:rPr/>
              <w:t xml:space="preserve">units comprising any combination of Class A Ordinary Shares, Class B Ordinary Shares, Warrants, Debt Securities and Rights (the </w:t>
            </w:r>
            <w:r>
              <w:rPr>
                <w:b/>
              </w:rPr>
              <w:t>Units</w:t>
            </w:r>
            <w:r>
              <w:rPr/>
              <w:t xml:space="preserve">) to be issued under a unit agreement and a unit certificate to be entered into by the Company (collectively, the </w:t>
            </w:r>
            <w:r>
              <w:rPr>
                <w:b/>
              </w:rPr>
              <w:t>Unit Documents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 Documents, the Debt Documents, the Rights Document and the Unit Documents are referred to herein collectively as </w:t>
      </w: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the Debt Securities, the Rights and the Units are collectively referred to herein as </w:t>
      </w:r>
      <w:r>
        <w:rPr>
          <w:rFonts w:ascii="Times New Roman;Times;Serif" w:hAnsi="Times New Roman;Times;Serif"/>
          <w:b/>
          <w:i w:val="false"/>
          <w:caps w:val="false"/>
          <w:smallCaps w:val="false"/>
          <w:sz w:val="20"/>
        </w:rPr>
        <w:t>Non-Equity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that the Securities are to be offered on a delayed basis pursuant to Rule 415 under the Act, as set forth in the Registration Statement, and that this opinion is required to be furnished in accordance with the requirements of Item 601 (b)(5) of Regulation S-K under the Act. No opinion is expressed herein as to any matter pertaining to the contents of the Registration Statement other than as expressly stated herein with respect to the issue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 5.1 and Exhibit 23.2 to the Registration Statement.</w:t>
      </w:r>
    </w:p>
    <w:p>
      <w:pPr>
        <w:pStyle w:val="TextBody"/>
        <w:bidi w:val="0"/>
        <w:spacing w:before="0" w:after="0"/>
        <w:ind w:left="720" w:right="0" w:hanging="72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4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2090" w:type="dxa"/>
            <w:tcBorders/>
            <w:vAlign w:val="center"/>
          </w:tcPr>
          <w:p>
            <w:pPr>
              <w:pStyle w:val="TableContents"/>
              <w:bidi w:val="0"/>
              <w:spacing w:before="0" w:after="283"/>
              <w:jc w:val="both"/>
              <w:rPr/>
            </w:pPr>
            <w:r>
              <w:rPr/>
              <w:t>Documents examined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originals, copies, or drafts of the following documents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283"/>
              <w:jc w:val="both"/>
              <w:rPr/>
            </w:pPr>
            <w:r>
              <w:rPr/>
              <w:t xml:space="preserve">the certificate of incorporation of the Company dated 4 July 2023 issued by the Registrar of Companies of the Cayman Islands (the </w:t>
            </w:r>
            <w:r>
              <w:rPr>
                <w:b/>
              </w:rPr>
              <w:t>Registrar</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2" w:type="dxa"/>
            <w:tcBorders/>
            <w:vAlign w:val="center"/>
          </w:tcPr>
          <w:p>
            <w:pPr>
              <w:pStyle w:val="TableContents"/>
              <w:bidi w:val="0"/>
              <w:spacing w:before="0" w:after="283"/>
              <w:jc w:val="both"/>
              <w:rPr/>
            </w:pPr>
            <w:r>
              <w:rPr/>
              <w:t xml:space="preserve">the third amended and restated memorandum and articles of association of the Company as adopted by a special resolution passed on 5 June 2026 (the </w:t>
            </w:r>
            <w:r>
              <w:rPr>
                <w:b/>
              </w:rPr>
              <w:t>Memorandum and Articles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(c)</w:t>
            </w:r>
          </w:p>
        </w:tc>
        <w:tc>
          <w:tcPr>
            <w:tcW w:w="9910" w:type="dxa"/>
            <w:tcBorders/>
            <w:vAlign w:val="center"/>
          </w:tcPr>
          <w:p>
            <w:pPr>
              <w:pStyle w:val="TableContents"/>
              <w:bidi w:val="0"/>
              <w:spacing w:before="0" w:after="283"/>
              <w:jc w:val="both"/>
              <w:rPr/>
            </w:pPr>
            <w:r>
              <w:rPr/>
              <w:t xml:space="preserve">a certificate of good standing dated 4 June 2026 (the </w:t>
            </w:r>
            <w:r>
              <w:rPr>
                <w:b/>
              </w:rPr>
              <w:t>Good Standing Certificate</w:t>
            </w:r>
            <w:r>
              <w:rPr/>
              <w:t>) issued by the Registrar in respect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(d)</w:t>
            </w:r>
          </w:p>
        </w:tc>
        <w:tc>
          <w:tcPr>
            <w:tcW w:w="9883" w:type="dxa"/>
            <w:tcBorders/>
            <w:vAlign w:val="center"/>
          </w:tcPr>
          <w:p>
            <w:pPr>
              <w:pStyle w:val="TableContents"/>
              <w:bidi w:val="0"/>
              <w:spacing w:before="0" w:after="283"/>
              <w:jc w:val="both"/>
              <w:rPr/>
            </w:pPr>
            <w:r>
              <w:rPr/>
              <w:t xml:space="preserve">the written resolutions of all the directors of the Company passed on 14 August 2026 (the </w:t>
            </w:r>
            <w:r>
              <w:rPr>
                <w:b/>
              </w:rPr>
              <w:t>Board Resolutions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(e)</w:t>
            </w:r>
          </w:p>
        </w:tc>
        <w:tc>
          <w:tcPr>
            <w:tcW w:w="9907" w:type="dxa"/>
            <w:tcBorders/>
            <w:vAlign w:val="center"/>
          </w:tcPr>
          <w:p>
            <w:pPr>
              <w:pStyle w:val="TableContents"/>
              <w:bidi w:val="0"/>
              <w:spacing w:before="0" w:after="283"/>
              <w:jc w:val="both"/>
              <w:rPr/>
            </w:pPr>
            <w:r>
              <w:rPr/>
              <w:t xml:space="preserve">a certificate dated the date hereof as to certain matters of fact signed by a director of the Company (the </w:t>
            </w:r>
            <w:r>
              <w:rPr>
                <w:b/>
              </w:rPr>
              <w:t>Director's Certificate</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(f)</w:t>
            </w:r>
          </w:p>
        </w:tc>
        <w:tc>
          <w:tcPr>
            <w:tcW w:w="9938" w:type="dxa"/>
            <w:tcBorders/>
            <w:vAlign w:val="center"/>
          </w:tcPr>
          <w:p>
            <w:pPr>
              <w:pStyle w:val="TableContents"/>
              <w:bidi w:val="0"/>
              <w:spacing w:before="0" w:after="283"/>
              <w:jc w:val="both"/>
              <w:rPr/>
            </w:pPr>
            <w:r>
              <w:rPr/>
              <w:t>a search of the Cayman Online Registry Information Service conducted against the Company at the Registrar on 13 August 2026;</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(g)</w:t>
            </w:r>
          </w:p>
        </w:tc>
        <w:tc>
          <w:tcPr>
            <w:tcW w:w="9902" w:type="dxa"/>
            <w:tcBorders/>
            <w:vAlign w:val="center"/>
          </w:tcPr>
          <w:p>
            <w:pPr>
              <w:pStyle w:val="TableContents"/>
              <w:bidi w:val="0"/>
              <w:spacing w:before="0" w:after="283"/>
              <w:jc w:val="both"/>
              <w:rPr/>
            </w:pPr>
            <w:r>
              <w:rPr/>
              <w:t>the Register of Writs and Other Originating Process at the office of the Clerk of Courts in the Cayman Islands as inspected by us on 13 August 2026;</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(h)</w:t>
            </w:r>
          </w:p>
        </w:tc>
        <w:tc>
          <w:tcPr>
            <w:tcW w:w="9895" w:type="dxa"/>
            <w:tcBorders/>
            <w:vAlign w:val="center"/>
          </w:tcPr>
          <w:p>
            <w:pPr>
              <w:pStyle w:val="TableContents"/>
              <w:bidi w:val="0"/>
              <w:spacing w:before="0" w:after="283"/>
              <w:jc w:val="both"/>
              <w:rPr/>
            </w:pPr>
            <w:r>
              <w:rPr/>
              <w:t xml:space="preserve">a copy of the register of directors and officers of the Company provided to us on 13 August 2026 (the </w:t>
            </w:r>
            <w:r>
              <w:rPr>
                <w:b/>
              </w:rPr>
              <w:t>Register of Directors</w:t>
            </w:r>
            <w:r>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827"/>
        <w:gridCol w:w="9242"/>
      </w:tblGrid>
      <w:tr>
        <w:trPr/>
        <w:tc>
          <w:tcPr>
            <w:tcW w:w="1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pPr>
            <w:r>
              <w:rPr/>
              <w:t>(i)</w:t>
            </w:r>
          </w:p>
        </w:tc>
        <w:tc>
          <w:tcPr>
            <w:tcW w:w="9242" w:type="dxa"/>
            <w:tcBorders/>
            <w:vAlign w:val="center"/>
          </w:tcPr>
          <w:p>
            <w:pPr>
              <w:pStyle w:val="TableContents"/>
              <w:bidi w:val="0"/>
              <w:spacing w:before="0" w:after="283"/>
              <w:jc w:val="both"/>
              <w:rPr/>
            </w:pPr>
            <w:r>
              <w:rPr/>
              <w:t>the Registration Statement.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made any searches or enquiries concerning, and have not examined any documents entered into by or affecting the Company or any other person, save for the searches, enquiries and examinations expressly referred to above.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990"/>
        <w:gridCol w:w="8947"/>
      </w:tblGrid>
      <w:tr>
        <w:trPr/>
        <w:tc>
          <w:tcPr>
            <w:tcW w:w="26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2</w:t>
            </w:r>
          </w:p>
        </w:tc>
        <w:tc>
          <w:tcPr>
            <w:tcW w:w="8947" w:type="dxa"/>
            <w:tcBorders/>
            <w:vAlign w:val="center"/>
          </w:tcPr>
          <w:p>
            <w:pPr>
              <w:pStyle w:val="TableContents"/>
              <w:bidi w:val="0"/>
              <w:spacing w:before="0" w:after="283"/>
              <w:jc w:val="both"/>
              <w:rPr/>
            </w:pPr>
            <w:r>
              <w:rPr/>
              <w:t>Assumptions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Schedule 1 without having carried out any independent investigation or verification in respect of those assumptions.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1319"/>
        <w:gridCol w:w="8528"/>
      </w:tblGrid>
      <w:tr>
        <w:trPr/>
        <w:tc>
          <w:tcPr>
            <w:tcW w:w="35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pPr>
            <w:r>
              <w:rPr/>
              <w:t>3</w:t>
            </w:r>
          </w:p>
        </w:tc>
        <w:tc>
          <w:tcPr>
            <w:tcW w:w="8528" w:type="dxa"/>
            <w:tcBorders/>
            <w:vAlign w:val="center"/>
          </w:tcPr>
          <w:p>
            <w:pPr>
              <w:pStyle w:val="TableContents"/>
              <w:bidi w:val="0"/>
              <w:spacing w:before="0" w:after="283"/>
              <w:jc w:val="both"/>
              <w:rPr/>
            </w:pPr>
            <w:r>
              <w:rPr/>
              <w:t>Opinions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limitations and qualifications set forth below, we are of the opinion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The Company has been duly incorporated as an exempted company with limited liability and is validly existing and in good standing with the Registrar.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Class A Ordinary Shares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564"/>
        <w:gridCol w:w="9568"/>
      </w:tblGrid>
      <w:tr>
        <w:trPr/>
        <w:tc>
          <w:tcPr>
            <w:tcW w:w="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t>(b)</w:t>
            </w:r>
          </w:p>
        </w:tc>
        <w:tc>
          <w:tcPr>
            <w:tcW w:w="9568" w:type="dxa"/>
            <w:tcBorders/>
            <w:vAlign w:val="center"/>
          </w:tcPr>
          <w:p>
            <w:pPr>
              <w:pStyle w:val="TableContents"/>
              <w:bidi w:val="0"/>
              <w:spacing w:before="0" w:after="283"/>
              <w:jc w:val="both"/>
              <w:rPr/>
            </w:pPr>
            <w:r>
              <w:rPr/>
              <w:t>With respect to the Class A Ordinary Shares, when:</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t xml:space="preserve">the board of directors of the Company (the </w:t>
            </w:r>
            <w:r>
              <w:rPr>
                <w:b/>
              </w:rPr>
              <w:t>Board</w:t>
            </w:r>
            <w:r>
              <w:rPr/>
              <w:t>) has taken all necessary corporate actions to approve the issuance and allotment of the Class A Ordinary Shares, the terms of the offering of the Class A Ordinary Shares and all related matters;</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t>either (A) the provisions of the applicable definitive purchase, underwriting or similar agreement approved by the Board have been satisfied and payment of the consideration specified therein (being not less than the par value of the Class A Ordinary Shares) has been made, or (B) if such Class A Ordinary Shares are issuable upon conversion, exchange, redemption, repurchase or exercise of any other security, the terms of such security, the then effective memorandum and articles of the Company and the instrument governing such security providing for such conversion, exchange, redemption, repurchase or exercise for Class A Ordinary Shares, as approved by the Board, have been satisfied and the consideration approved by the Board (being not less than the par value of the Class A Ordinary Shares) received; and</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(iii)</w:t>
            </w:r>
          </w:p>
        </w:tc>
        <w:tc>
          <w:tcPr>
            <w:tcW w:w="9860" w:type="dxa"/>
            <w:tcBorders/>
            <w:vAlign w:val="center"/>
          </w:tcPr>
          <w:p>
            <w:pPr>
              <w:pStyle w:val="TableContents"/>
              <w:bidi w:val="0"/>
              <w:spacing w:before="0" w:after="283"/>
              <w:jc w:val="both"/>
              <w:rPr/>
            </w:pPr>
            <w:r>
              <w:rPr/>
              <w:t>valid entry has been made in the register of members of the Company reflecting such issuance of Class A Ordinary Shares, in each case in accordance with the then effective memorandum and articles of the Company,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will be recognised as having been duly authorised and validly issued, fully paid and non-assessable.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Debt Securities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11"/>
        <w:gridCol w:w="9624"/>
      </w:tblGrid>
      <w:tr>
        <w:trPr/>
        <w:tc>
          <w:tcPr>
            <w:tcW w:w="7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(c)</w:t>
            </w:r>
          </w:p>
        </w:tc>
        <w:tc>
          <w:tcPr>
            <w:tcW w:w="9624" w:type="dxa"/>
            <w:tcBorders/>
            <w:vAlign w:val="center"/>
          </w:tcPr>
          <w:p>
            <w:pPr>
              <w:pStyle w:val="TableContents"/>
              <w:bidi w:val="0"/>
              <w:spacing w:before="0" w:after="283"/>
              <w:jc w:val="both"/>
              <w:rPr/>
            </w:pPr>
            <w:r>
              <w:rPr/>
              <w:t>With respect to the Debt Securities to be issued, when:</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(i)</w:t>
            </w:r>
          </w:p>
        </w:tc>
        <w:tc>
          <w:tcPr>
            <w:tcW w:w="9978" w:type="dxa"/>
            <w:tcBorders/>
            <w:vAlign w:val="center"/>
          </w:tcPr>
          <w:p>
            <w:pPr>
              <w:pStyle w:val="TableContents"/>
              <w:bidi w:val="0"/>
              <w:spacing w:before="0" w:after="283"/>
              <w:jc w:val="both"/>
              <w:rPr/>
            </w:pPr>
            <w:r>
              <w:rPr/>
              <w:t>the Board has taken all necessary corporate actions to authorise and approve the creation and terms of the Debt Securities and to approve the issue thereof, the terms of the offering thereof and all related matters;</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(ii)</w:t>
            </w:r>
          </w:p>
        </w:tc>
        <w:tc>
          <w:tcPr>
            <w:tcW w:w="9919" w:type="dxa"/>
            <w:tcBorders/>
            <w:vAlign w:val="center"/>
          </w:tcPr>
          <w:p>
            <w:pPr>
              <w:pStyle w:val="TableContents"/>
              <w:bidi w:val="0"/>
              <w:spacing w:before="0" w:after="283"/>
              <w:jc w:val="both"/>
              <w:rPr/>
            </w:pPr>
            <w:r>
              <w:rPr/>
              <w:t>the Debt Documents relating to the Debt Securities shall have been duly authorized and validly executed and unconditionally delivered by and on behalf of the Company and all the relevant parties thereunder; and</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(iii)</w:t>
            </w:r>
          </w:p>
        </w:tc>
        <w:tc>
          <w:tcPr>
            <w:tcW w:w="9875" w:type="dxa"/>
            <w:tcBorders/>
            <w:vAlign w:val="center"/>
          </w:tcPr>
          <w:p>
            <w:pPr>
              <w:pStyle w:val="TableContents"/>
              <w:bidi w:val="0"/>
              <w:spacing w:before="0" w:after="283"/>
              <w:jc w:val="both"/>
              <w:rPr/>
            </w:pPr>
            <w:r>
              <w:rPr/>
              <w:t>the Debt Securities issued thereunder have been duly executed and delivered on behalf of the Company and authenticated in the manner set forth in the applicable Debt Documents relating to such issue of Debt Securities and delivered against due payment therefor pursuant to, and in accordance with, the terms of the Registration Statement and any relevant prospectus supplement,</w:t>
            </w:r>
          </w:p>
        </w:tc>
      </w:tr>
    </w:tbl>
    <w:p>
      <w:pPr>
        <w:pStyle w:val="TextBody"/>
        <w:bidi w:val="0"/>
        <w:spacing w:before="0" w:after="0"/>
        <w:ind w:left="1428" w:right="0" w:hanging="0"/>
        <w:jc w:val="both"/>
        <w:rPr>
          <w:caps w:val="false"/>
          <w:smallCaps w:val="false"/>
        </w:rPr>
      </w:pPr>
      <w:r>
        <w:rPr>
          <w:caps w:val="false"/>
          <w:smallCaps w:val="false"/>
        </w:rPr>
        <w:t> </w:t>
      </w:r>
    </w:p>
    <w:p>
      <w:pPr>
        <w:pStyle w:val="TextBody"/>
        <w:bidi w:val="0"/>
        <w:spacing w:before="0" w:after="0"/>
        <w:ind w:left="14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have been duly executed, issued and delivered.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 Issuance of Warrants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601"/>
        <w:gridCol w:w="9526"/>
      </w:tblGrid>
      <w:tr>
        <w:trPr/>
        <w:tc>
          <w:tcPr>
            <w:tcW w:w="7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pPr>
            <w:r>
              <w:rPr/>
              <w:t>(d)</w:t>
            </w:r>
          </w:p>
        </w:tc>
        <w:tc>
          <w:tcPr>
            <w:tcW w:w="9526" w:type="dxa"/>
            <w:tcBorders/>
            <w:vAlign w:val="center"/>
          </w:tcPr>
          <w:p>
            <w:pPr>
              <w:pStyle w:val="TableContents"/>
              <w:bidi w:val="0"/>
              <w:spacing w:before="0" w:after="283"/>
              <w:jc w:val="both"/>
              <w:rPr/>
            </w:pPr>
            <w:r>
              <w:rPr/>
              <w:t>With respect to the Warrants to be issued, when:</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the Board has taken all necessary corporate actions to authorise and approve the creation and terms of the Warrants and to approve the issue thereof, the terms of the offering thereof and all related matters;</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283"/>
              <w:jc w:val="both"/>
              <w:rPr/>
            </w:pPr>
            <w:r>
              <w:rPr/>
              <w:t>the Warrant Documents relating to the Warrants shall have been duly authorized and validly executed and unconditionally delivered by the Company and the warrant agent thereunder; and</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(iii)</w:t>
            </w:r>
          </w:p>
        </w:tc>
        <w:tc>
          <w:tcPr>
            <w:tcW w:w="9872" w:type="dxa"/>
            <w:tcBorders/>
            <w:vAlign w:val="center"/>
          </w:tcPr>
          <w:p>
            <w:pPr>
              <w:pStyle w:val="TableContents"/>
              <w:bidi w:val="0"/>
              <w:spacing w:before="0" w:after="283"/>
              <w:jc w:val="both"/>
              <w:rPr/>
            </w:pPr>
            <w:r>
              <w:rPr/>
              <w:t>the certificates representing the Warrants have been duly executed, countersigned, registered and delivered in accordance with the Warrant Documents relating to the Warrants and the applicable definitive purchase, underwriting or similar agreement approved by the Board upon payment of the consideration therefor provided therein,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 duly authorized and validly issued and will constitute legal, valid and binding obligations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 Issuance of Rights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601"/>
        <w:gridCol w:w="9521"/>
      </w:tblGrid>
      <w:tr>
        <w:trPr/>
        <w:tc>
          <w:tcPr>
            <w:tcW w:w="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pPr>
            <w:r>
              <w:rPr/>
              <w:t>(e)</w:t>
            </w:r>
          </w:p>
        </w:tc>
        <w:tc>
          <w:tcPr>
            <w:tcW w:w="9521" w:type="dxa"/>
            <w:tcBorders/>
            <w:vAlign w:val="center"/>
          </w:tcPr>
          <w:p>
            <w:pPr>
              <w:pStyle w:val="TableContents"/>
              <w:bidi w:val="0"/>
              <w:spacing w:before="0" w:after="283"/>
              <w:jc w:val="both"/>
              <w:rPr/>
            </w:pPr>
            <w:r>
              <w:rPr/>
              <w:t>With respect to the Rights to be issued, when:</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the Board has taken all necessary corporate actions to authorise and approve the creation and terms of the Rights and to approve the issue thereof, the terms of the offering thereof and all related matters;</w:t>
            </w:r>
          </w:p>
        </w:tc>
      </w:tr>
    </w:tbl>
    <w:p>
      <w:pPr>
        <w:pStyle w:val="TextBody"/>
        <w:bidi w:val="0"/>
        <w:spacing w:before="0" w:after="0"/>
        <w:ind w:left="2126" w:right="0" w:hanging="720"/>
        <w:jc w:val="both"/>
        <w:rPr>
          <w:caps w:val="false"/>
          <w:smallCaps w:val="false"/>
        </w:rPr>
      </w:pPr>
      <w:r>
        <w:rPr>
          <w:caps w:val="false"/>
          <w:smallCaps w:val="false"/>
        </w:rPr>
        <w:t> </w:t>
      </w:r>
    </w:p>
    <w:p>
      <w:pPr>
        <w:pStyle w:val="TextBody"/>
        <w:bidi w:val="0"/>
        <w:spacing w:before="0" w:after="0"/>
        <w:ind w:left="2126"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both"/>
              <w:rPr/>
            </w:pPr>
            <w:r>
              <w:rPr/>
              <w:t>the Rights Documents relating to the Rights shall have been duly authorised and validly executed and unconditionally delivered by the Company and the financial institution designated as rights agent thereunder; and</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(iii)</w:t>
            </w:r>
          </w:p>
        </w:tc>
        <w:tc>
          <w:tcPr>
            <w:tcW w:w="9873" w:type="dxa"/>
            <w:tcBorders/>
            <w:vAlign w:val="center"/>
          </w:tcPr>
          <w:p>
            <w:pPr>
              <w:pStyle w:val="TableContents"/>
              <w:bidi w:val="0"/>
              <w:spacing w:before="0" w:after="283"/>
              <w:jc w:val="both"/>
              <w:rPr/>
            </w:pPr>
            <w:r>
              <w:rPr/>
              <w:t>the certificates representing the Rights shall have been duly executed, countersigned, issued, registered and delivered in accordance with the Rights Documents relating to the Rights, and the applicable definitive purchase, underwriting or similar agreement approved by the Board upon payment of the consideration therefor provided therein,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be duly authorised and validly issued and will constitute legal, valid and binding obligations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 Issuance of Units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582"/>
        <w:gridCol w:w="9533"/>
      </w:tblGrid>
      <w:tr>
        <w:trPr/>
        <w:tc>
          <w:tcPr>
            <w:tcW w:w="9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pPr>
            <w:r>
              <w:rPr/>
              <w:t>(f)</w:t>
            </w:r>
          </w:p>
        </w:tc>
        <w:tc>
          <w:tcPr>
            <w:tcW w:w="9533" w:type="dxa"/>
            <w:tcBorders/>
            <w:vAlign w:val="center"/>
          </w:tcPr>
          <w:p>
            <w:pPr>
              <w:pStyle w:val="TableContents"/>
              <w:bidi w:val="0"/>
              <w:spacing w:before="0" w:after="283"/>
              <w:jc w:val="both"/>
              <w:rPr/>
            </w:pPr>
            <w:r>
              <w:rPr/>
              <w:t>With respect to each issue of Units, when:</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t>the Board has taken all necessary corporate actions to authorise and approve the creation and terms of the Units and to approve the issue of the Securities which are components thereof, the terms of the offering thereof and all related matters;</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283"/>
              <w:jc w:val="both"/>
              <w:rPr/>
            </w:pPr>
            <w:r>
              <w:rPr/>
              <w:t>a Unit Document relating to the Units shall have been duly authorised and validly executed and unconditionally delivered by the Company and all relevant parties thereunder;</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(iii)</w:t>
            </w:r>
          </w:p>
        </w:tc>
        <w:tc>
          <w:tcPr>
            <w:tcW w:w="9869" w:type="dxa"/>
            <w:tcBorders/>
            <w:vAlign w:val="center"/>
          </w:tcPr>
          <w:p>
            <w:pPr>
              <w:pStyle w:val="TableContents"/>
              <w:bidi w:val="0"/>
              <w:spacing w:before="0" w:after="283"/>
              <w:jc w:val="both"/>
              <w:rPr/>
            </w:pPr>
            <w:r>
              <w:rPr/>
              <w:t>in respect of any Warrants which are components of the Units, the Warrant Documents shall have been duly authorized and validly executed and unconditionally delivered by the Company and the warrant agent thereunder, if any, in respect of any Warrants which are components of the Units;</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(iv)</w:t>
            </w:r>
          </w:p>
        </w:tc>
        <w:tc>
          <w:tcPr>
            <w:tcW w:w="9862" w:type="dxa"/>
            <w:tcBorders/>
            <w:vAlign w:val="center"/>
          </w:tcPr>
          <w:p>
            <w:pPr>
              <w:pStyle w:val="TableContents"/>
              <w:bidi w:val="0"/>
              <w:spacing w:before="0" w:after="283"/>
              <w:jc w:val="both"/>
              <w:rPr/>
            </w:pPr>
            <w:r>
              <w:rPr/>
              <w:t>in respect of any Debt Securities which are components of the Units, the Debt Documents shall have been duly authorized and validly executed and unconditionally delivered by the Company and all relevant parties thereunder;</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(v)</w:t>
            </w:r>
          </w:p>
        </w:tc>
        <w:tc>
          <w:tcPr>
            <w:tcW w:w="9929" w:type="dxa"/>
            <w:tcBorders/>
            <w:vAlign w:val="center"/>
          </w:tcPr>
          <w:p>
            <w:pPr>
              <w:pStyle w:val="TableContents"/>
              <w:bidi w:val="0"/>
              <w:spacing w:before="0" w:after="283"/>
              <w:jc w:val="both"/>
              <w:rPr/>
            </w:pPr>
            <w:r>
              <w:rPr/>
              <w:t>in respect of any Rights which are components of the Units, the Rights Documents shall have been duly authorized and validly executed and unconditionally delivered by the Company and the rights agent thereunder, if any, in respect of any Rights which are components of the Units;</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0"/>
        <w:gridCol w:w="9868"/>
      </w:tblGrid>
      <w:tr>
        <w:trPr/>
        <w:tc>
          <w:tcPr>
            <w:tcW w:w="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(vi)</w:t>
            </w:r>
          </w:p>
        </w:tc>
        <w:tc>
          <w:tcPr>
            <w:tcW w:w="9868" w:type="dxa"/>
            <w:tcBorders/>
            <w:vAlign w:val="center"/>
          </w:tcPr>
          <w:p>
            <w:pPr>
              <w:pStyle w:val="TableContents"/>
              <w:bidi w:val="0"/>
              <w:spacing w:before="0" w:after="283"/>
              <w:jc w:val="both"/>
              <w:rPr/>
            </w:pPr>
            <w:r>
              <w:rPr/>
              <w:t>in respect of any Ordinary Shares which are components of the Units, valid entry has been made in the register of members of the Company reflecting such issuance of Ordinary Shares, in each case in accordance with the then effective memorandum and articles of the Company; and</w:t>
            </w:r>
          </w:p>
        </w:tc>
      </w:tr>
    </w:tbl>
    <w:p>
      <w:pPr>
        <w:pStyle w:val="TextBody"/>
        <w:bidi w:val="0"/>
        <w:spacing w:before="0" w:after="0"/>
        <w:ind w:left="2126"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2"/>
        <w:gridCol w:w="9826"/>
      </w:tblGrid>
      <w:tr>
        <w:trPr/>
        <w:tc>
          <w:tcPr>
            <w:tcW w:w="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(vii)</w:t>
            </w:r>
          </w:p>
        </w:tc>
        <w:tc>
          <w:tcPr>
            <w:tcW w:w="9826" w:type="dxa"/>
            <w:tcBorders/>
            <w:vAlign w:val="center"/>
          </w:tcPr>
          <w:p>
            <w:pPr>
              <w:pStyle w:val="TableContents"/>
              <w:bidi w:val="0"/>
              <w:spacing w:before="0" w:after="283"/>
              <w:jc w:val="both"/>
              <w:rPr/>
            </w:pPr>
            <w:r>
              <w:rPr/>
              <w:t>the Units and any Securities which are components of the Units shall have been duly executed, countersigned, authenticated, issued, registered and delivered (in each case, as and when applicable), in accordance with the provisions of (A) the applicable Unit Document relating to the Units, (B) the applicable Warrant Documents relating to any Warrants which are components of the Units, (C) the applicable Debt Documents relating to any Debt Securities which are components of the Units, (D) the applicable Rights Documents relating to any Rights which are components of the Units, (E) the then effective memorandum and articles of the Company, and (F) the applicable definitive purchase, underwriting or similar agreement approved by the Board, and upon payment of the consideration therefor provided therein (being, in respect of Ordinary Shares which are components of the Units, not less than the par value of such Ordinary Shares),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will be duly authorised and validly issued and will constitute legal, valid and binding obligations of the Company.</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466"/>
        <w:gridCol w:w="9613"/>
      </w:tblGrid>
      <w:tr>
        <w:trPr/>
        <w:tc>
          <w:tcPr>
            <w:tcW w:w="1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4</w:t>
            </w:r>
          </w:p>
        </w:tc>
        <w:tc>
          <w:tcPr>
            <w:tcW w:w="9613" w:type="dxa"/>
            <w:tcBorders/>
            <w:vAlign w:val="center"/>
          </w:tcPr>
          <w:p>
            <w:pPr>
              <w:pStyle w:val="TableContents"/>
              <w:bidi w:val="0"/>
              <w:spacing w:before="0" w:after="283"/>
              <w:jc w:val="both"/>
              <w:rPr/>
            </w:pPr>
            <w:r>
              <w:rPr/>
              <w:t>Limitations and Qualifications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1376"/>
        <w:gridCol w:w="8666"/>
      </w:tblGrid>
      <w:tr>
        <w:trPr/>
        <w:tc>
          <w:tcPr>
            <w:tcW w:w="1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pPr>
            <w:r>
              <w:rPr/>
              <w:t>4.1</w:t>
            </w:r>
          </w:p>
        </w:tc>
        <w:tc>
          <w:tcPr>
            <w:tcW w:w="8666" w:type="dxa"/>
            <w:tcBorders/>
            <w:vAlign w:val="center"/>
          </w:tcPr>
          <w:p>
            <w:pPr>
              <w:pStyle w:val="TableContents"/>
              <w:bidi w:val="0"/>
              <w:spacing w:before="0" w:after="283"/>
              <w:jc w:val="both"/>
              <w:rPr/>
            </w:pPr>
            <w:r>
              <w:rPr/>
              <w:t>We offer no opinion: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Documents and the Governing Documents to statutes, rules, regulations, codes or judicial authority of any jurisdiction other than the Cayman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Documents or any of the Governing Documents, the accuracy of representations, the fulfilment of warranties or conditions, the occurrence of events of default or terminating events or the existence of any conflicts or inconsistencies among the Documents, the Governing Documents and any other agreements into which the Company may have entered or any other documents;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both"/>
              <w:rPr/>
            </w:pPr>
            <w:r>
              <w:rPr/>
              <w:t>as to whether the acceptance, execution or performance of the Company's obligations under the Registration Statement and/or the Governing Documents will result in the breach of or infringe any other agreement, deed or document entered into by or binding on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Under the Companies Act (Revised) (</w:t>
            </w:r>
            <w:r>
              <w:rPr>
                <w:b/>
              </w:rPr>
              <w:t>Companies Act</w:t>
            </w:r>
            <w:r>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 xml:space="preserve">In </w:t>
            </w:r>
            <w:r>
              <w:rPr>
                <w:b/>
              </w:rPr>
              <w:t>good standing</w:t>
            </w:r>
            <w:r>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In this opinion the phrase “non-assessable” means, with respect to the Ordinary Shares, that a member of the Company shall not, by virtue of its status as a member of the Company, be liable for additional assessments or calls on such Ordinary Shares by the Company or its creditors (except in exceptional circumstances, such as involving fraud, the establishment of an agency relationship or an illegal or improper use or other circumstance in which a court may be prepared to pierce or lift the corporate veil).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and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54"/>
        <w:gridCol w:w="9809"/>
      </w:tblGrid>
      <w:tr>
        <w:trPr/>
        <w:tc>
          <w:tcPr>
            <w:tcW w:w="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4.6</w:t>
            </w:r>
          </w:p>
        </w:tc>
        <w:tc>
          <w:tcPr>
            <w:tcW w:w="9809" w:type="dxa"/>
            <w:tcBorders/>
            <w:vAlign w:val="center"/>
          </w:tcPr>
          <w:p>
            <w:pPr>
              <w:pStyle w:val="TableContents"/>
              <w:bidi w:val="0"/>
              <w:spacing w:before="0" w:after="283"/>
              <w:jc w:val="both"/>
              <w:rPr/>
            </w:pPr>
            <w:r>
              <w:rPr/>
              <w:t>We have not reviewed the Governing Documents and our opinions are qualified accordingly.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4.7</w:t>
            </w:r>
          </w:p>
        </w:tc>
        <w:tc>
          <w:tcPr>
            <w:tcW w:w="9848" w:type="dxa"/>
            <w:tcBorders/>
            <w:vAlign w:val="center"/>
          </w:tcPr>
          <w:p>
            <w:pPr>
              <w:pStyle w:val="TableContents"/>
              <w:bidi w:val="0"/>
              <w:spacing w:before="0" w:after="283"/>
              <w:jc w:val="both"/>
              <w:rPr/>
            </w:pPr>
            <w:r>
              <w:rPr/>
              <w:t>The Company is prohibited by section 175 of the Companies Act from making any invitation to the public in the Cayman Islands to subscribe for any of its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4.8</w:t>
            </w:r>
          </w:p>
        </w:tc>
        <w:tc>
          <w:tcPr>
            <w:tcW w:w="9848" w:type="dxa"/>
            <w:tcBorders/>
            <w:vAlign w:val="center"/>
          </w:tcPr>
          <w:p>
            <w:pPr>
              <w:pStyle w:val="TableContents"/>
              <w:bidi w:val="0"/>
              <w:spacing w:before="0" w:after="283"/>
              <w:jc w:val="both"/>
              <w:rPr/>
            </w:pPr>
            <w:r>
              <w:rPr/>
              <w:t>We reserve our opinion as to the extent to which the courts of the Cayman Islands would, in the event of any relevant illegality or invalidity, sever the relevant provisions of the Governing Documents and the Non-Equity Securities and enforce the remainder of the Governing Documents and the Non-Equity Securities or the transaction of which such provisions form a part, notwithstanding any express provisions in any Governing Document in this regard.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466"/>
        <w:gridCol w:w="9613"/>
      </w:tblGrid>
      <w:tr>
        <w:trPr/>
        <w:tc>
          <w:tcPr>
            <w:tcW w:w="1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5</w:t>
            </w:r>
          </w:p>
        </w:tc>
        <w:tc>
          <w:tcPr>
            <w:tcW w:w="9613" w:type="dxa"/>
            <w:tcBorders/>
            <w:vAlign w:val="center"/>
          </w:tcPr>
          <w:p>
            <w:pPr>
              <w:pStyle w:val="TableContents"/>
              <w:bidi w:val="0"/>
              <w:spacing w:before="0" w:after="283"/>
              <w:jc w:val="both"/>
              <w:rPr/>
            </w:pPr>
            <w:r>
              <w:rPr/>
              <w:t>Governing law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752"/>
        <w:gridCol w:w="8245"/>
      </w:tblGrid>
      <w:tr>
        <w:trPr/>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pPr>
            <w:r>
              <w:rPr/>
              <w:t>5.1</w:t>
            </w:r>
          </w:p>
        </w:tc>
        <w:tc>
          <w:tcPr>
            <w:tcW w:w="8245" w:type="dxa"/>
            <w:tcBorders/>
            <w:vAlign w:val="center"/>
          </w:tcPr>
          <w:p>
            <w:pPr>
              <w:pStyle w:val="TableContents"/>
              <w:bidi w:val="0"/>
              <w:spacing w:before="0" w:after="283"/>
              <w:jc w:val="both"/>
              <w:rPr/>
            </w:pPr>
            <w:r>
              <w:rPr/>
              <w:t>This opinion is: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1"/>
        <w:gridCol w:w="9840"/>
      </w:tblGrid>
      <w:tr>
        <w:trPr/>
        <w:tc>
          <w:tcPr>
            <w:tcW w:w="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(a)</w:t>
            </w:r>
          </w:p>
        </w:tc>
        <w:tc>
          <w:tcPr>
            <w:tcW w:w="9840"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22"/>
        <w:gridCol w:w="9502"/>
      </w:tblGrid>
      <w:tr>
        <w:trPr/>
        <w:tc>
          <w:tcPr>
            <w:tcW w:w="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pPr>
            <w:r>
              <w:rPr/>
              <w:t>(b)</w:t>
            </w:r>
          </w:p>
        </w:tc>
        <w:tc>
          <w:tcPr>
            <w:tcW w:w="9502" w:type="dxa"/>
            <w:tcBorders/>
            <w:vAlign w:val="center"/>
          </w:tcPr>
          <w:p>
            <w:pPr>
              <w:pStyle w:val="TableContents"/>
              <w:bidi w:val="0"/>
              <w:spacing w:before="0" w:after="283"/>
              <w:jc w:val="both"/>
              <w:rPr/>
            </w:pPr>
            <w:r>
              <w:rPr/>
              <w:t>limited to the matters expressly stated in it;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0"/>
        <w:gridCol w:w="1439"/>
        <w:gridCol w:w="8376"/>
      </w:tblGrid>
      <w:tr>
        <w:trPr/>
        <w:tc>
          <w:tcPr>
            <w:tcW w:w="39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pPr>
            <w:r>
              <w:rPr/>
              <w:t>6</w:t>
            </w:r>
          </w:p>
        </w:tc>
        <w:tc>
          <w:tcPr>
            <w:tcW w:w="8376" w:type="dxa"/>
            <w:tcBorders/>
            <w:vAlign w:val="center"/>
          </w:tcPr>
          <w:p>
            <w:pPr>
              <w:pStyle w:val="TableContents"/>
              <w:bidi w:val="0"/>
              <w:spacing w:before="0" w:after="283"/>
              <w:jc w:val="both"/>
              <w:rPr/>
            </w:pPr>
            <w:r>
              <w:rPr/>
              <w:t>Consent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headings "Enforceability of Civil Liabilities" and "Legal Matters"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used only in connection with the offer and sale of the Securities while the Registration Statement is effective. In giving our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1325"/>
        <w:gridCol w:w="75"/>
      </w:tblGrid>
      <w:tr>
        <w:trPr/>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Yours faithfully</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32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Ogier</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Ogier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17"/>
        <w:gridCol w:w="9929"/>
      </w:tblGrid>
      <w:tr>
        <w:trPr/>
        <w:tc>
          <w:tcPr>
            <w:tcW w:w="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All copy documents examined by us (whether in facsimile, electronic or other form) conform to the originals and those originals are authentic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44"/>
        <w:gridCol w:w="10022"/>
      </w:tblGrid>
      <w:tr>
        <w:trPr/>
        <w:tc>
          <w:tcPr>
            <w:tcW w:w="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Each of the Good Standing Certificate, the Register of Directors, the Memorandum and Articles and the Director's Certificate is accurate and complete as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Each of the parties to the Governing Documents other than the Company is duly incorporated, formed or organised (as applicable), validly existing and in good standing under all relevant laws. Any individuals who are parties to the Governing Documents, or who sign or have signed documents or give information on which we rely, have the legal capacity under all relevant laws (including the laws of the Cayman Islands) to enter into and perform their obligations under such Governing Document, sign such documents and give such 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Each Governing Document and the Non-Equity Securities have been, or will be, duly authorised, executed and unconditionally delivered by or on behalf of all relevant parties in accordance with all relevant laws and, in respect of the Company, in the manner authorised by the Board.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In authorising the execution and delivery of the Documents and the Governing Documents by the Company, the exercise of its rights and performance of its obligations under such documents, each of the directors of the Company has acted in good faith with a view to the best interests of the Company and has exercised the standard of care, diligence and skill that is required of him or her.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The applicable Governing Documents will be governed by and construed in accordance with the laws of New York and will be legal, valid, binding and enforceable against all relevant parties in accordance with its terms under the laws of New York and all other relevant laws. If an obligation is to be performed in a jurisdiction outside the Cayman Islands, its performance will not be contrary to an official directive, impossible or illegal under the laws of that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t>The choice of the laws of the State of New York as the governing law of the Governing Documents has, or will have, been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8" w:type="dxa"/>
            <w:tcBorders/>
            <w:vAlign w:val="center"/>
          </w:tcPr>
          <w:p>
            <w:pPr>
              <w:pStyle w:val="TableContents"/>
              <w:bidi w:val="0"/>
              <w:spacing w:before="0" w:after="283"/>
              <w:jc w:val="both"/>
              <w:rPr/>
            </w:pPr>
            <w:r>
              <w:rPr/>
              <w:t>No monies paid to or for the account of any party in respect of the Securities under the Governing Documents represent, or will represent, criminal property or terrorist property (as defined in the Proceeds of Crime Act (Revised), and the Terrorism Act (Revised) respectively) and none of the parties to the Documents or the Governing Documents is acting or will act in relation to the transactions contemplated by such documents, in a manner inconsistent with United Nations or United Kingdom sanctions or measures extended by statutory instrument to the Cayman Islands by orders of His Majesty in Council.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11</w:t>
            </w:r>
          </w:p>
        </w:tc>
        <w:tc>
          <w:tcPr>
            <w:tcW w:w="9908" w:type="dxa"/>
            <w:tcBorders/>
            <w:vAlign w:val="center"/>
          </w:tcPr>
          <w:p>
            <w:pPr>
              <w:pStyle w:val="TableContents"/>
              <w:bidi w:val="0"/>
              <w:spacing w:before="0" w:after="283"/>
              <w:jc w:val="both"/>
              <w:rPr/>
            </w:pPr>
            <w:r>
              <w:rPr/>
              <w:t>The Non-Equity Securities will respectively be issued and authenticated as required in accordance with the provisions of a duly authorised, executed and delivered applicable Governing Document and the Non-Equity Securities will be legal, valid, binding and enforceable against all relevant parties in accordance with their terms under the laws of the State of New York and all other relevant laws (other than, with respect to the Company,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12</w:t>
            </w:r>
          </w:p>
        </w:tc>
        <w:tc>
          <w:tcPr>
            <w:tcW w:w="9908" w:type="dxa"/>
            <w:tcBorders/>
            <w:vAlign w:val="center"/>
          </w:tcPr>
          <w:p>
            <w:pPr>
              <w:pStyle w:val="TableContents"/>
              <w:bidi w:val="0"/>
              <w:spacing w:before="0" w:after="283"/>
              <w:jc w:val="both"/>
              <w:rPr/>
            </w:pPr>
            <w:r>
              <w:rPr/>
              <w:t>The form and terms of any and all Securities (including, without limitation, the designation, powers, preferences, rights, qualifications, limitations and restrictions of Preferred Shares),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of the Company then in effect nor any applicable law, regulation, order or decree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13</w:t>
            </w:r>
          </w:p>
        </w:tc>
        <w:tc>
          <w:tcPr>
            <w:tcW w:w="9908"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Cayman Islands. In particular, but without limitation to the previous sentence: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laws or public policies of any jurisdiction other than the Cayman Islands will not adversely affect the capacity or authority of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neither the execution or delivery of the Governing Documents nor the exercise by any party to the Governing Documents of its rights or the performance of its obligations under them contravene those laws or public policies.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14</w:t>
            </w:r>
          </w:p>
        </w:tc>
        <w:tc>
          <w:tcPr>
            <w:tcW w:w="9908" w:type="dxa"/>
            <w:tcBorders/>
            <w:vAlign w:val="center"/>
          </w:tcPr>
          <w:p>
            <w:pPr>
              <w:pStyle w:val="TableContents"/>
              <w:bidi w:val="0"/>
              <w:spacing w:before="0" w:after="283"/>
              <w:jc w:val="both"/>
              <w:rPr/>
            </w:pPr>
            <w:r>
              <w:rPr/>
              <w:t>There are no agreements, documents or arrangements (other than the documents expressly referred to in this opinion as having been examined by us) that materially affect or modify the Governing Documents or the transactions contemplated by Governing Documents or restrict the powers and authority of the Company in any way from entering into and performing its obligations under a duly authorised, executed and delivered Governing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15</w:t>
            </w:r>
          </w:p>
        </w:tc>
        <w:tc>
          <w:tcPr>
            <w:tcW w:w="9908" w:type="dxa"/>
            <w:tcBorders/>
            <w:vAlign w:val="center"/>
          </w:tcPr>
          <w:p>
            <w:pPr>
              <w:pStyle w:val="TableContents"/>
              <w:bidi w:val="0"/>
              <w:spacing w:before="0" w:after="283"/>
              <w:jc w:val="both"/>
              <w:rPr/>
            </w:pPr>
            <w:r>
              <w:rPr/>
              <w:t>The Company has obtained, or will obtain prior to execution, all consents, licences, approvals and authorisations of any governmental or regulatory authority or agency or of any other person that it is required to obtain pursuant to the laws of all relevant jurisdictions (other than those of the Cayman Islands) to ensure the legality, validity, enforceability, proper performance and admissibility in evidence of the Governing Documents. Any conditions to which such consents, licences, approvals and authorisations are subject have been, and will continue to be, satisfied or waived by the parties entitled to the benefit of them.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16</w:t>
            </w:r>
          </w:p>
        </w:tc>
        <w:tc>
          <w:tcPr>
            <w:tcW w:w="9908" w:type="dxa"/>
            <w:tcBorders/>
            <w:vAlign w:val="center"/>
          </w:tcPr>
          <w:p>
            <w:pPr>
              <w:pStyle w:val="TableContents"/>
              <w:bidi w:val="0"/>
              <w:spacing w:before="0" w:after="283"/>
              <w:jc w:val="both"/>
              <w:rPr/>
            </w:pPr>
            <w:r>
              <w:rPr/>
              <w:t>All necessary corporate action will be taken to authorise and approve any issuance of Securities and the terms of the offering of such Securities thereof and other related matters and that the applicable definitive purchase, underwriting or similar agreement will be duly approved, executed and delivered by or on behalf of the Company and all other parties thereto.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ea029696801ex23-1.htm"/>
      <w:bookmarkStart w:id="34" w:name="ksea029696801ex231"/>
      <w:bookmarkEnd w:id="33"/>
      <w:bookmarkEnd w:id="34"/>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F-3 of Intercont (Cayman) Limited (the “Company”) of our report dated October 30, 2025, with respect to our audits of the Company’s combined and consolidated financial statements as of June 30, 2025 and 2024 and for each of the years in the three-year period ended June 30, 2025 which included in the Company's Annual Report on Form 20-F filed on October 30, 2025. Our opinion includes emphasis of matters paragraphs relating to going concern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a029696801ex23-3.htm"/>
      <w:bookmarkStart w:id="36" w:name="ksea029696801ex233"/>
      <w:bookmarkEnd w:id="35"/>
      <w:bookmarkEnd w:id="36"/>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LAWRENCE CHAN &amp; CO., SOLICITORS</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45" w:type="dxa"/>
          <w:right w:w="0" w:type="dxa"/>
        </w:tblCellMar>
      </w:tblPr>
      <w:tblGrid>
        <w:gridCol w:w="1715"/>
        <w:gridCol w:w="4640"/>
      </w:tblGrid>
      <w:tr>
        <w:trPr/>
        <w:tc>
          <w:tcPr>
            <w:tcW w:w="1715" w:type="dxa"/>
            <w:tcBorders>
              <w:bottom w:val="single" w:sz="12" w:space="0" w:color="000000"/>
            </w:tcBorders>
            <w:vAlign w:val="center"/>
          </w:tcPr>
          <w:p>
            <w:pPr>
              <w:pStyle w:val="TableContents"/>
              <w:bidi w:val="0"/>
              <w:spacing w:before="0" w:after="283"/>
              <w:jc w:val="left"/>
              <w:rPr>
                <w:sz w:val="20"/>
              </w:rPr>
            </w:pPr>
            <w:r>
              <w:rPr>
                <w:b/>
                <w:sz w:val="20"/>
              </w:rPr>
              <w:t>陳振球律師事務所</w:t>
            </w:r>
            <w:r>
              <w:rPr>
                <w:sz w:val="20"/>
              </w:rPr>
              <w:t xml:space="preserve">  </w:t>
            </w:r>
          </w:p>
        </w:tc>
        <w:tc>
          <w:tcPr>
            <w:tcW w:w="4640" w:type="dxa"/>
            <w:tcBorders>
              <w:bottom w:val="single" w:sz="12" w:space="0" w:color="000000"/>
            </w:tcBorders>
            <w:vAlign w:val="center"/>
          </w:tcPr>
          <w:p>
            <w:pPr>
              <w:pStyle w:val="TableContents"/>
              <w:bidi w:val="0"/>
              <w:spacing w:before="0" w:after="283"/>
              <w:jc w:val="right"/>
              <w:rPr>
                <w:sz w:val="20"/>
              </w:rPr>
            </w:pPr>
            <w:r>
              <w:rPr>
                <w:sz w:val="20"/>
              </w:rPr>
              <w:t>Sole Proprietor: Chan Chun Kau Lawrence</w:t>
              <w:br/>
              <w:t>In association with J.S. Gale &amp; Co. and Cheung &amp; Choy  </w:t>
            </w:r>
          </w:p>
        </w:tc>
      </w:tr>
    </w:tbl>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3455"/>
        <w:gridCol w:w="60"/>
        <w:gridCol w:w="2135"/>
      </w:tblGrid>
      <w:tr>
        <w:trPr/>
        <w:tc>
          <w:tcPr>
            <w:tcW w:w="3455" w:type="dxa"/>
            <w:tcBorders/>
            <w:vAlign w:val="center"/>
          </w:tcPr>
          <w:p>
            <w:pPr>
              <w:pStyle w:val="TableContents"/>
              <w:bidi w:val="0"/>
              <w:spacing w:before="0" w:after="283"/>
              <w:jc w:val="left"/>
              <w:rPr/>
            </w:pPr>
            <w:r>
              <w:rPr/>
              <w:t xml:space="preserve">Our Ref: </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both"/>
              <w:rPr/>
            </w:pPr>
            <w:r>
              <w:rPr/>
              <w:t>Your Ref:</w:t>
            </w:r>
          </w:p>
        </w:tc>
      </w:tr>
      <w:tr>
        <w:trPr/>
        <w:tc>
          <w:tcPr>
            <w:tcW w:w="3455" w:type="dxa"/>
            <w:tcBorders/>
            <w:vAlign w:val="center"/>
          </w:tcPr>
          <w:p>
            <w:pPr>
              <w:pStyle w:val="TableContents"/>
              <w:bidi w:val="0"/>
              <w:spacing w:before="0" w:after="283"/>
              <w:jc w:val="left"/>
              <w:rPr/>
            </w:pPr>
            <w:r>
              <w:rPr/>
              <w:t>Please reply to: Mr. Lawrence Chan</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both"/>
              <w:rPr/>
            </w:pPr>
            <w:r>
              <w:rPr/>
              <w:t>Date: 14 August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hanging="81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PRIVATE AND CONFIDENTIAL</w:t>
      </w:r>
    </w:p>
    <w:p>
      <w:pPr>
        <w:pStyle w:val="TextBody"/>
        <w:bidi w:val="0"/>
        <w:spacing w:before="0" w:after="0"/>
        <w:ind w:left="810" w:right="0" w:hanging="81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BY EMAIL &amp; BY POST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(Cayman)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Ocean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098187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 Consent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lawyers practising and qualified to opine on Hong Kong laws, and act as Hong Kong legal advisers to Intercont (Cayman)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company incorporated in the Cayman Islands, in connection with a prospectus and all the amendments or supplements thereto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as contained in the Company’s registration statement on Form F-3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as amended from time to time, filed or to be filed by the Company on or around this date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U.S.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and the reference to our firm’s name in, the Registration Statement and Prospectus. In giving such consent, we do not thereby admit that we are “experts” within the definition of the U.S. Securities Act of 1933, as amended, whose consent is required thereunder, or the rules and regulations of the Commission issued thereunder with respect to any part of the Registration Statement and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Lawrence Chan &amp; Co.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6485"/>
        <w:gridCol w:w="60"/>
        <w:gridCol w:w="3660"/>
      </w:tblGrid>
      <w:tr>
        <w:trPr/>
        <w:tc>
          <w:tcPr>
            <w:tcW w:w="6485" w:type="dxa"/>
            <w:tcBorders>
              <w:top w:val="single" w:sz="12" w:space="0" w:color="000000"/>
            </w:tcBorders>
            <w:vAlign w:val="center"/>
          </w:tcPr>
          <w:p>
            <w:pPr>
              <w:pStyle w:val="TableContents"/>
              <w:bidi w:val="0"/>
              <w:spacing w:before="0" w:after="283"/>
              <w:jc w:val="left"/>
              <w:rPr/>
            </w:pPr>
            <w:r>
              <w:rPr>
                <w:sz w:val="16"/>
              </w:rPr>
              <w:t>Rooms 2801-05, 28/F, China Insurance Group Building, 141 Des Voeux Road Central, Hong Kong</w:t>
              <w:br/>
            </w:r>
            <w:r>
              <w:rPr>
                <w:sz w:val="16"/>
              </w:rPr>
              <w:t>香港中環德輔道中</w:t>
            </w:r>
            <w:r>
              <w:rPr>
                <w:sz w:val="16"/>
              </w:rPr>
              <w:t>141</w:t>
            </w:r>
            <w:r>
              <w:rPr>
                <w:sz w:val="16"/>
              </w:rPr>
              <w:t>號中保集團大廈</w:t>
            </w:r>
            <w:r>
              <w:rPr>
                <w:sz w:val="16"/>
              </w:rPr>
              <w:t>28</w:t>
            </w:r>
            <w:r>
              <w:rPr>
                <w:sz w:val="16"/>
              </w:rPr>
              <w:t>樓</w:t>
            </w:r>
            <w:r>
              <w:rPr>
                <w:sz w:val="16"/>
              </w:rPr>
              <w:t>2801-05</w:t>
            </w:r>
            <w:r>
              <w:rPr>
                <w:sz w:val="16"/>
              </w:rPr>
              <w:t>室</w:t>
            </w:r>
          </w:p>
        </w:tc>
        <w:tc>
          <w:tcPr>
            <w:tcW w:w="60" w:type="dxa"/>
            <w:tcBorders>
              <w:top w:val="single" w:sz="12" w:space="0" w:color="000000"/>
            </w:tcBorders>
            <w:vAlign w:val="center"/>
          </w:tcPr>
          <w:p>
            <w:pPr>
              <w:pStyle w:val="TableContents"/>
              <w:bidi w:val="0"/>
              <w:spacing w:before="0" w:after="283"/>
              <w:jc w:val="left"/>
              <w:rPr/>
            </w:pPr>
            <w:r>
              <w:rPr/>
              <w:t> </w:t>
            </w:r>
          </w:p>
        </w:tc>
        <w:tc>
          <w:tcPr>
            <w:tcW w:w="3660" w:type="dxa"/>
            <w:tcBorders>
              <w:top w:val="single" w:sz="12" w:space="0" w:color="000000"/>
            </w:tcBorders>
            <w:vAlign w:val="center"/>
          </w:tcPr>
          <w:p>
            <w:pPr>
              <w:pStyle w:val="TableContents"/>
              <w:bidi w:val="0"/>
              <w:spacing w:before="0" w:after="283"/>
              <w:jc w:val="left"/>
              <w:rPr/>
            </w:pPr>
            <w:r>
              <w:rPr>
                <w:sz w:val="16"/>
              </w:rPr>
              <w:t>Tel</w:t>
            </w:r>
            <w:r>
              <w:rPr>
                <w:sz w:val="16"/>
              </w:rPr>
              <w:t>電話</w:t>
            </w:r>
            <w:r>
              <w:rPr>
                <w:sz w:val="16"/>
              </w:rPr>
              <w:t xml:space="preserve">: (852) 3153 2233 Fax </w:t>
            </w:r>
            <w:r>
              <w:rPr>
                <w:sz w:val="16"/>
              </w:rPr>
              <w:t>傳真</w:t>
            </w:r>
            <w:r>
              <w:rPr>
                <w:sz w:val="16"/>
              </w:rPr>
              <w:t>: (852) 3153 2234</w:t>
              <w:br/>
              <w:t xml:space="preserve">Email </w:t>
            </w:r>
            <w:r>
              <w:rPr>
                <w:sz w:val="16"/>
              </w:rPr>
              <w:t>電郵</w:t>
            </w:r>
            <w:r>
              <w:rPr>
                <w:sz w:val="16"/>
              </w:rPr>
              <w:t>:info@cklchan.com</w:t>
            </w:r>
          </w:p>
        </w:tc>
      </w:tr>
    </w:tbl>
    <w:p>
      <w:pPr>
        <w:pStyle w:val="TextBody"/>
        <w:bidi w:val="0"/>
        <w:spacing w:before="0" w:after="240"/>
        <w:jc w:val="right"/>
        <w:rPr>
          <w:rFonts w:ascii="Times New Roman;Times;Serif" w:hAnsi="Times New Roman;Times;Serif"/>
          <w:b/>
          <w:i w:val="false"/>
          <w:caps w:val="false"/>
          <w:smallCaps w:val="false"/>
          <w:sz w:val="24"/>
        </w:rPr>
      </w:pPr>
      <w:bookmarkStart w:id="37" w:name="ea029696801ex-fee.htm"/>
      <w:bookmarkStart w:id="38" w:name="ksea029696801exfee"/>
      <w:bookmarkEnd w:id="37"/>
      <w:bookmarkEnd w:id="3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Intercont (Cayman) Limited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735" w:type="dxa"/>
        <w:jc w:val="left"/>
        <w:tblInd w:w="0" w:type="dxa"/>
        <w:tblLayout w:type="fixed"/>
        <w:tblCellMar>
          <w:top w:w="0" w:type="dxa"/>
          <w:left w:w="0" w:type="dxa"/>
          <w:bottom w:w="0" w:type="dxa"/>
          <w:right w:w="0" w:type="dxa"/>
        </w:tblCellMar>
      </w:tblPr>
      <w:tblGrid>
        <w:gridCol w:w="530"/>
        <w:gridCol w:w="60"/>
        <w:gridCol w:w="1160"/>
        <w:gridCol w:w="60"/>
        <w:gridCol w:w="935"/>
        <w:gridCol w:w="60"/>
        <w:gridCol w:w="575"/>
        <w:gridCol w:w="60"/>
        <w:gridCol w:w="1100"/>
        <w:gridCol w:w="60"/>
        <w:gridCol w:w="1025"/>
        <w:gridCol w:w="60"/>
        <w:gridCol w:w="696"/>
        <w:gridCol w:w="299"/>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73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Class A Ordinary Shares, par value US$0. 0025 each</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27,620.00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8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27,620.00</w:t>
            </w:r>
          </w:p>
        </w:tc>
      </w:tr>
      <w:tr>
        <w:trPr/>
        <w:tc>
          <w:tcPr>
            <w:tcW w:w="668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68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68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27,620.00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which shall have an aggregate offering price not to exceed $200,000,000.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w:t>
              <w:br/>
              <w:br/>
              <w:t>Estimated solely for the purpose of computing the amount of the registration fee pursuant to Rule 457(o) under the Securities Act.</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which shall have an aggregate offering price not to exceed $200,000,000.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w:t>
              <w:br/>
              <w:br/>
              <w:t>Estimated solely for the purpose of computing the amount of the registration fee pursuant to Rule 457(o) under the Securities Act.</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which shall have an aggregate offering price not to exceed $200,000,000.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w:t>
              <w:br/>
              <w:br/>
              <w:t>Estimated solely for the purpose of computing the amount of the registration fee pursuant to Rule 457(o) under the Securities Act.</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which shall have an aggregate offering price not to exceed $200,000,000.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w:t>
              <w:br/>
              <w:br/>
              <w:t>Estimated solely for the purpose of computing the amount of the registration fee pursuant to Rule 457(o) under the Securities Act.</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which shall have an aggregate offering price not to exceed $200,000,000.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w:t>
              <w:br/>
              <w:br/>
              <w:t>Estimated solely for the purpose of computing the amount of the registration fee pursuant to Rule 457(o) under the Securities Act.</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which shall have an aggregate offering price not to exceed $200,000,000.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br/>
              <w:b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w:t>
              <w:br/>
              <w:br/>
              <w:t>Estimated solely for the purpose of computing the amount of the registration fee pursuant to Rule 457(o) under the Securities Act.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2018529/000121390025104020/ea0261753-20f_inter.htm" TargetMode="External"/><Relationship Id="rId5" Type="http://schemas.openxmlformats.org/officeDocument/2006/relationships/hyperlink" Target="https://www.sec.gov/Archives/edgar/data/2018529/000121390025116956/ea0268053-6k_intercont.htm" TargetMode="External"/><Relationship Id="rId6" Type="http://schemas.openxmlformats.org/officeDocument/2006/relationships/hyperlink" Target="https://www.sec.gov/Archives/edgar/data/2018529/000121390025118993/ea0268797-6k_intercont.htm" TargetMode="External"/><Relationship Id="rId7" Type="http://schemas.openxmlformats.org/officeDocument/2006/relationships/hyperlink" Target="https://www.sec.gov/Archives/edgar/data/2018529/000121390025124176/ea0270384-6k_intercont.htm" TargetMode="External"/><Relationship Id="rId8" Type="http://schemas.openxmlformats.org/officeDocument/2006/relationships/hyperlink" Target="https://www.sec.gov/Archives/edgar/data/2018529/000121390025125145/ea0270726-01.htm" TargetMode="External"/><Relationship Id="rId9" Type="http://schemas.openxmlformats.org/officeDocument/2006/relationships/hyperlink" Target="https://www.sec.gov/Archives/edgar/data/2018529/000121390025125889/ea0271055-6k_intercont.htm" TargetMode="External"/><Relationship Id="rId10" Type="http://schemas.openxmlformats.org/officeDocument/2006/relationships/hyperlink" Target="https://www.sec.gov/Archives/edgar/data/2018529/000121390026007729/ea0274010-6k_intercont.htm" TargetMode="External"/><Relationship Id="rId11" Type="http://schemas.openxmlformats.org/officeDocument/2006/relationships/hyperlink" Target="https://www.sec.gov/Archives/edgar/data/2018529/000121390026015254/ea0275246-6k_intercont.htm" TargetMode="External"/><Relationship Id="rId12" Type="http://schemas.openxmlformats.org/officeDocument/2006/relationships/hyperlink" Target="https://www.sec.gov/Archives/edgar/data/2018529/000121390026036085/ea0283917-6k_intercont.htm" TargetMode="External"/><Relationship Id="rId13" Type="http://schemas.openxmlformats.org/officeDocument/2006/relationships/hyperlink" Target="https://www.sec.gov/ix?doc=/Archives/edgar/data/2018529/000121390026040504/ea0284684-6k_intercont.htm" TargetMode="External"/><Relationship Id="rId14" Type="http://schemas.openxmlformats.org/officeDocument/2006/relationships/hyperlink" Target="https://www.sec.gov/Archives/edgar/data/2018529/000121390026054999/ea0290055-01.htm" TargetMode="External"/><Relationship Id="rId15" Type="http://schemas.openxmlformats.org/officeDocument/2006/relationships/hyperlink" Target="https://www.sec.gov/Archives/edgar/data/2018529/000121390026066072/ea0293862-6k_intercont.htm" TargetMode="External"/><Relationship Id="rId16" Type="http://schemas.openxmlformats.org/officeDocument/2006/relationships/hyperlink" Target="http://www.sec.gov/Archives/edgar/data/2018529/000121390026076744/ea0297454-6k_intercont.htm" TargetMode="External"/><Relationship Id="rId17" Type="http://schemas.openxmlformats.org/officeDocument/2006/relationships/hyperlink" Target="http://www.sec.gov/Archives/edgar/data/2018529/000121390026086770/ea0300803-6k_intercont.htm" TargetMode="External"/><Relationship Id="rId18" Type="http://schemas.openxmlformats.org/officeDocument/2006/relationships/hyperlink" Target="https://www.sec.gov/Archives/edgar/data/2018529/000101376225003059/ea0235903-8a12b_intercont.htm" TargetMode="External"/><Relationship Id="rId19" Type="http://schemas.openxmlformats.org/officeDocument/2006/relationships/hyperlink" Target="https://www.sec.gov/ix?doc=/Archives/edgar/data/2018529/000121390025104020/ea0261753-20f_inter.htm" TargetMode="External"/><Relationship Id="rId20" Type="http://schemas.openxmlformats.org/officeDocument/2006/relationships/hyperlink" Target="https://www.sec.gov/Archives/edgar/data/2018529/000121390026066161/ea029119903ex4-1.htm" TargetMode="External"/><Relationship Id="rId21" Type="http://schemas.openxmlformats.org/officeDocument/2006/relationships/image" Target="media/image3.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99514</Words>
  <Characters>519242</Characters>
  <CharactersWithSpaces>619220</CharactersWithSpaces>
  <Paragraphs>6206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