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Intercont (Cayman)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Streeterville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UTAH</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Streeterville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M Fife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Intercont (Cayman)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39"/>
        <w:spacing w:after="0"/>
        <w:rPr>
          <w:sz w:val="20"/>
          <w:szCs w:val="20"/>
          <w:color w:val="auto"/>
        </w:rPr>
      </w:pPr>
      <w:r>
        <w:rPr>
          <w:rFonts w:ascii="Times New Roman" w:cs="Times New Roman" w:eastAsia="Times New Roman" w:hAnsi="Times New Roman"/>
          <w:sz w:val="22"/>
          <w:szCs w:val="22"/>
          <w:color w:val="auto"/>
        </w:rPr>
        <w:t>39 OCEAN DRIVE, SINGAPORE, SINGAPORE, 098187</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report is filed by Streeterville Capital LLC, Streeterville Management LLC, and John M. Fife with respect to the shares of Ordinary Shares of the Issuer that are directly beneficially owned by Streeterville Capital LLC and indirectly beneficially owned by the other reporting and filing persons.</w:t>
      </w:r>
    </w:p>
    <w:p>
      <w:pPr>
        <w:sectPr>
          <w:pgSz w:w="11900" w:h="16874" w:orient="portrait"/>
          <w:cols w:equalWidth="0" w:num="1">
            <w:col w:w="11080"/>
          </w:cols>
          <w:pgMar w:left="360" w:top="112" w:right="45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East Randolph Street, Suite 40.150 Chicago, IL 60601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Streeterville Capital LLC is a Utah limited liability company. Streeterville Management LLC is a Utah limited liability company. John M. Fife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74" w:orient="portrait"/>
          <w:cols w:equalWidth="0" w:num="2">
            <w:col w:w="620" w:space="300"/>
            <w:col w:w="10160"/>
          </w:cols>
          <w:pgMar w:left="360" w:top="112" w:right="45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1080"/>
          </w:cols>
          <w:pgMar w:left="360" w:top="112" w:right="459" w:bottom="0" w:gutter="0" w:footer="0" w:header="0"/>
          <w:type w:val="continuous"/>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Streeterville Capital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Fife</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Streeterville Management,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Fife</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John M Fife</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Fife</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John Fife</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2026-05-01T12:02:32Z</dcterms:created>
  <dcterms:modified xsi:type="dcterms:W3CDTF">2026-05-01T12:02:32Z</dcterms:modified>
</cp:coreProperties>
</file>