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001-42571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39 Ocean Drive Singapore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Attached as Exhibit 99.1 to this report is a Management’s Discussion and Analysis of Intercont (Cayman) Limited (the “Company”), dated April 6, 2026, regarding the Company’s unaudited condensed combined and consolidated financial statements for the six months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99.2 to this report is the Company’s unaudited condensed combined and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attached: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1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80" w:type="dxa"/>
            <w:vAlign w:val="bottom"/>
          </w:tcPr>
          <w:p>
            <w:pPr>
              <w:spacing w:after="0"/>
              <w:rPr>
                <w:sz w:val="21"/>
                <w:szCs w:val="21"/>
                <w:color w:val="auto"/>
              </w:rPr>
            </w:pPr>
          </w:p>
        </w:tc>
        <w:tc>
          <w:tcPr>
            <w:tcW w:w="712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5"/>
                <w:szCs w:val="15"/>
                <w:color w:val="auto"/>
              </w:rPr>
            </w:pPr>
          </w:p>
        </w:tc>
        <w:tc>
          <w:tcPr>
            <w:tcW w:w="10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0000EE"/>
              </w:rPr>
              <w:t>Unaudited Interim Consolidated Financial Statements as of December 31, 2025</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3420" w:hanging="5572"/>
        <w:spacing w:after="0" w:line="759" w:lineRule="auto"/>
        <w:tabs>
          <w:tab w:leader="none" w:pos="12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April 6, 2026</w:t>
      </w:r>
      <w:r>
        <w:rPr>
          <w:sz w:val="20"/>
          <w:szCs w:val="20"/>
          <w:color w:val="auto"/>
        </w:rPr>
        <w:tab/>
      </w:r>
      <w:r>
        <w:rPr>
          <w:rFonts w:ascii="Times New Roman" w:cs="Times New Roman" w:eastAsia="Times New Roman" w:hAnsi="Times New Roman"/>
          <w:sz w:val="17"/>
          <w:szCs w:val="17"/>
          <w:b w:val="1"/>
          <w:bCs w:val="1"/>
          <w:color w:val="auto"/>
        </w:rPr>
        <w:t>Intercont (Cayman) Limited</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/s/ Muchun Zhu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Muchun Zhu</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filing. This discussion contains forward-looking statements that involve risks and uncertainties. Our actual results and the timing of selected events could differ materially from those anticipated in these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Intercont was established under the laws of the Cayman Islands on July 4, 2023 as a holding company. The Company, through its subsidiaries (collectively, the “Group”), is currently principally engaged in time charter service and vessel management services business globally.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our revenues were approximately $12.6 million and $13.4 million, respectively. For the six months ended December31, 2025 and 2024, we had a net loss of approximately $2.7 million and net income of $0.9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26, 2026, Intercont (Cayman) Limited (the “Company”) held an extraordinary general meeting of shareholders (the “Meeting”). At the Meeting, the shareholders approved, among other resolutions, an amendment to the Company’s authorized share capital, the creation of two new classes of ordinary shares, and the re-designation of existing shares.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authorized share capital was increased from US$50,000, divided into 500,000,000 ordinary shares of par value US$0.0001 each, to US$100,000, divided into 1,000,000,000 ordinary shares of par value US$0.0001 each.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also authorized, established, and designated two new classes of ordinary shares: Class A Ordinary Shares and Class B Ordinary Shares. Class A shares have one vote each, while Class B shares have thirty votes each and weighted voting rights. Class B shares are convertible into Class A shares at the holder’s option, but Class A shares are not convertible into any other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shareholders approved the re-designation of:</w:t>
      </w:r>
    </w:p>
    <w:p>
      <w:pPr>
        <w:spacing w:after="0" w:line="225"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5,164,951 existing authorized and issued ordinary shares as Class B Shares. This includes 908,708 shares held by EASCOR HOLDING LIMITED and 4,256,243 shares held by BEVERLY HOLDING LIMITED.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25,319,350 issued ordinary shares as Class A Shares.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969,515,699 authorized but unissued ordinary shares as Class A Shares.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is engaged in the international maritime transportation business of providing time charter and vessel management services globally and primarily derives its revenue from time charter contracts and providing vessel management services. We believe the principal factors that affect our future results of operations are the economic, regulatory, political and governmental conditions that affect the shipping industry generally and those that affect conditions in countries and markets in which our vessels engage in business. Other key factors that will be fundamental to our business, future financial condition and results of operations include:</w:t>
      </w:r>
    </w:p>
    <w:p>
      <w:pPr>
        <w:spacing w:after="0" w:line="210" w:lineRule="exact"/>
        <w:rPr>
          <w:sz w:val="20"/>
          <w:szCs w:val="20"/>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seaborne transportation services;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commercial and chartering operations to successfully employ our vessels at economically attractive rates;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technical management of our vessels;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and growth in our customer relationships.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factors discussed above, we believe certain specific factors will impact our consolidated results of operations. These factors include:</w:t>
      </w:r>
    </w:p>
    <w:p>
      <w:pPr>
        <w:spacing w:after="0" w:line="252" w:lineRule="exact"/>
        <w:rPr>
          <w:sz w:val="20"/>
          <w:szCs w:val="20"/>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hire earned by the vessels under our charters;</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capital required to acquire additional vessels and/or to implement our business strategy;</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vessels at prices we deem satisfactory; and</w:t>
      </w:r>
    </w:p>
    <w:p>
      <w:pPr>
        <w:spacing w:after="0" w:line="27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debt and the related interest expense and amortization of principal.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December 31, 2025 and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six months ended December 31, 2025 and 2024, respectively, and provides information regarding the dollar and percentage increase during such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12,588,263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13,386,367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(798,104)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9,582,321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9,564,100</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3,005,942</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3,822,267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(816,325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3,894,427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1,261,906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2,632,521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574,041</w:t>
            </w:r>
          </w:p>
        </w:tc>
        <w:tc>
          <w:tcPr>
            <w:tcW w:w="18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436,024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138,017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4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(1,462,526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2,124,337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(3,586,863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(1,192,046)</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(1,191,971)</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(28,139)</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(39,965)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14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(1,219,863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(1,228,405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8,542</w:t>
            </w:r>
          </w:p>
        </w:tc>
        <w:tc>
          <w:tcPr>
            <w:tcW w:w="22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BEFORE INCOME TAXES</w:t>
            </w:r>
          </w:p>
        </w:tc>
        <w:tc>
          <w:tcPr>
            <w:tcW w:w="1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895,932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(2,682,389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895,932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(3,578,321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our total revenue was approximately $12.6 million as compared to approximately $13.4 million for the six months ended December 31, 2024, total revenue reduced by approximately $0.8 million, or 6%. For the six months ended December 31, 2025, revenue was impacted by dry-docking and major repairs, which resulted in off-hire days and a decrease in hire rate for time charter.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9,176,820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9,977,858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(801,038)</w:t>
            </w:r>
          </w:p>
        </w:tc>
        <w:tc>
          <w:tcPr>
            <w:tcW w:w="132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7"/>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3,411,443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3,408,509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2,934</w:t>
            </w:r>
          </w:p>
        </w:tc>
        <w:tc>
          <w:tcPr>
            <w:tcW w:w="132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12,588,263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13,386,367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bottom w:val="single" w:sz="8" w:color="CCEEFF"/>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charter revenue reduced by approximately $0.8 million or 8% from approximately $10.0 million in the six months ended December 31, 2024, to approximately $9.2 million in the six months ended December 31, 2025. The decrease was primarily attributable to the decrease of hire rate for time charter during the six months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 management services revenue increased remained stable at approximately $3.4 million for the six months ended December 31,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by revenue stream:</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by revenue stream:</w:t>
            </w:r>
          </w:p>
        </w:tc>
        <w:tc>
          <w:tcPr>
            <w:tcW w:w="1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6,676,992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6,509,744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167,248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2,905,329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3,054,356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(149,027)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9,582,321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9,564,100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18,221</w:t>
            </w: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by type:</w:t>
            </w:r>
          </w:p>
        </w:tc>
        <w:tc>
          <w:tcPr>
            <w:tcW w:w="1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lease expense</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1,708,380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1,682,250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1,844,122</w:t>
            </w:r>
          </w:p>
        </w:tc>
        <w:tc>
          <w:tcPr>
            <w:tcW w:w="22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1,853,051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Crew salary</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3,389,202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3,013,299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375,903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2,640,617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3,015,500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(374,883)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4400" w:type="dxa"/>
            <w:vAlign w:val="bottom"/>
            <w:vMerge w:val="continue"/>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9,582,321</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9,564,100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18,221</w:t>
            </w:r>
          </w:p>
        </w:tc>
        <w:tc>
          <w:tcPr>
            <w:tcW w:w="13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revenues mainly consists of vessel lease expense, depreciation and amortization, crew salary and others. Total cost amounted to approximately $9.6 million for the six months ended December 31, 2025 and 2024, reflecting no material change between the two periods.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Vessel lease expense was approximately $1.7 million for the six months ended December 31, 2025 and 2024. Depreciation and amortization were approximately $1.8 million and $1.9 million for the six months ended December 31, 2025 and 2024. Crew salary was approximately $3.4 million for the six months ended December 31, 2025, representing an increase of approximately $0.4 million compared to approximately $3.0 million for the six months ended December 31, 2024. The increase was mainly due to an increase in the number of crew members. Other cost was approximately $2.6 million for the six months ended December 31, 2025, representing a decrease of approximately $0.4 million compared to approximately $3.0 million for the six months ended December 31, 2024. The decrease was mainly due to lower vessel maintenance and repair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Gross profit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0"/>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right"/>
              <w:ind w:right="74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9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for time charter</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3,468,114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5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profit for vessel management services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506,114</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354,153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3,005,942</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3,822,267</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profit amounted to approximately $3.0 million for the six months ended December 31, 2025, compared to a gross profit of approximately $3.8 million for the six months ended December 31, 2024. Gross margin as a percent of overall revenue for the six months ended December 31, 2025, and 2024 was 24% and 29%, respectively. The decrease in gross profit margin was primarily due to lower gross profit margin for time charter in the six months ended December 31, 2025. Gross profit margin for time charter was 27% and 35%, respectively, for the six months ended December 31, 2025, and 2024.</w:t>
      </w:r>
    </w:p>
    <w:p>
      <w:pPr>
        <w:sectPr>
          <w:pgSz w:w="11900" w:h="16838" w:orient="portrait"/>
          <w:cols w:equalWidth="0" w:num="1">
            <w:col w:w="11240"/>
          </w:cols>
          <w:pgMar w:left="320" w:top="904"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5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3,894,427</w:t>
            </w:r>
          </w:p>
        </w:tc>
        <w:tc>
          <w:tcPr>
            <w:tcW w:w="2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1,261,906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2,632,521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574,041</w:t>
            </w: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436,024</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line="20" w:lineRule="exact"/>
              <w:rPr>
                <w:sz w:val="1"/>
                <w:szCs w:val="1"/>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2,770,538</w:t>
            </w:r>
          </w:p>
        </w:tc>
        <w:tc>
          <w:tcPr>
            <w:tcW w:w="1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and research and development expenses. Operating expenses increased by approximately $2.8 million, or 163%, from approximately $1.7 million for the six months ended December 31, 2024, to approximately $4.5 million for the six months ended December 31, 2025 due to increase of approximately $0.1 million in research and development expenses and increase of approximately $2.6 million in general and administrative.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salary and compensation expenses relating to our accounting, human resources, and executive office personnel, and included office rental and depreciation and amortization expenses, office overhead, professional service fees and travel and transportation costs. General and administrative expenses increased by approximately $2.6 million due to (a) professional consulting and legal fees increased by approximately $2.1 million from $0.4 for the six months ended December 31, 2024, to approximately $2.5 million for the six months ended December 31, 2025, (b) other expenses including salary expenses, insurance expense etc. increased approximately $0.5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incurred approximately $0.6 million research and development expenses for entrusting a third party to conduct research on pulp transport device, pulp residue processing and remote control of ship pulping operation for the six months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primarily consists of interest income, interest expense and other expense. Other expense, net was approximately $1.2 million for both the six months ended December 31, 2025 and 2024, remaining stable compared to the prior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foregoing, net loss amounted to approximately $2.7 million for the six months ended December 31, 2025, compared to a net income of approximately $0.9 million for the six months ended December 31, 2024. The net loss was primarily attributable to strategic investments in post-IPO expansion initiatives, which included approximately $2.1 million in professional and advisory service fees incurred in connection with the execution of these growth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British Virgin Islands 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shipping subsidiaries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the Group’s revenue from shipping subsidiaries is either not subject or exempt from income tax according to the tax regulations prevailing in the country in which the Group operates. Hong Kong does not impose withholding tax on dividends and interest currently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Certain Mainland China Tax Laws and Regulations Consideration</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 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Arrangement between mainland China and the Hong Kong Special Administrative Region for the Avoidance of Double Taxation and Prevention of Fiscal Evasion with Respect to Taxes on Income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 (i) 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operations solely in Hong Kong through our Hong Kong Subsidiaries without any operation, subsidiary or VIE structure in mainland China. None of our subsidiaries directly or indirectly hold any interests in any enterprises in mainland China, and all of our revenues and profits are generated by our Hong Kong Subsidiaries in Hong Kong. After consulting our counsel as to PRC law, Jingtian &amp; Gongcheng, we do not consider the said Enterprise Income Tax Law, or the Double Tax Avoidance Arrangement, or any mainland Chinese taxation law and regulations, restrict our ability to conduct our business, accept foreign investment or impose limitations on our ability to list on any U.S. or foreign stock exchange.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our operations are conducted in open sea and all of our revenue, expenses, and cash are denominated in USD. As of December 31, 2025, cash of approximately $4.0 million were held by the Group, of which $3.8 million were held in Singapore.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holding company with no material operations of its own. We conduct operations primarily through our subsidiaries in Hong Kong. As a result, the Group’s ability to pay dividends depends upon dividends paid by our subsidiaries. Our subsidiaries in Hong Kong are permitted to pay dividends to us only out of their retained earnings, if any, as determined in accordance with the Hong Kong accounting standards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 million. As of December 31, 2025 and June 30, 2025, the Group’s working capital deficit was approximately $16.2 million and $15.7 million, respectively.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March 31, 2026, the Company had cash and cash equivalents amounting to approximately $3.8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the management has alleviated the substantial doubt about the Group’s ability to continue as a going concern.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key components of our cash flows for the six months ended December 31, 2025 and 2024.</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620" w:type="dxa"/>
            <w:vAlign w:val="bottom"/>
            <w:tcBorders>
              <w:bottom w:val="single" w:sz="8" w:color="CCEEFF"/>
            </w:tcBorders>
          </w:tcPr>
          <w:p>
            <w:pPr>
              <w:spacing w:after="0"/>
              <w:rPr>
                <w:sz w:val="21"/>
                <w:szCs w:val="21"/>
                <w:color w:val="auto"/>
              </w:rPr>
            </w:pPr>
          </w:p>
        </w:tc>
        <w:tc>
          <w:tcPr>
            <w:tcW w:w="40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(7,212,036)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8,963,561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(546,901)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(3,357,613)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(1,481,971)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(decrease)/increase in cash</w:t>
            </w:r>
          </w:p>
        </w:tc>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4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(1,606,088</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1,153,285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6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$7.2 million for the six months ended December 31, 2025. Cash used in operating activities for the six months ended December 31, 2025 mainly consisted of net loss of approximately $2.7 million, noncash adjustments of approximately $4.2 million, an increase of approximately $8.2 million in prepayments and other assets primarily resulted from strategic payments made for advisory and consulting services in support of management’s expansion initiatives, these prepayments are associated with non-recurring project-based arrangements and are not indicative of the ongoing operating expenditure profile of the Group, and a decrease of approximate of $1.4 million in operating lease liabilities, offset by a decrease of approximately $1.0 million in accounts receivable(including accounts receivable- related parties).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$3.2 million for the six months ended December 31, 2024. Cash provided by operating activities for the six months ended December 31, 2024 mainly consisted of net income of approximately $0.9 million, noncash adjustments of approximately $3.6 million, a decrease of approximately $0.3 million in accounts receivable, offset by a decrease of approximate of $1.7 million in operating lease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31, 2025 was approximately $9.0 million, mainly consisting of purchase of long-lived assets for approximately $1.3 million and receive from short-term investment for approximately $10.3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December 31, 2024 was approximately $0.5 million, mainly consisting of purchase of long-lived assets for approximately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$3.4 million for the six months ended December 31, 2025, consisted of repayment of loan from related-party of approximately $3.0 million, financing lease-principal repayment of approximately $1.7 million, and repayment long-term loan of approximately $0.8 million, offset by proceeds from convertible note of approximately $2.0 million and proceeds from private placement of approximately $0.2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approximately $1.5 million for the six months ended December 31, 2024, consisted of repayment of long-term loan of approximately $0.8 million, financing lease-principal repayment of approximately $1.6 million, and deferred IPO cost of approximately $0.4 million, offset by proceeds from private placement of approximately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made capital expenditures of approximately $1.3 million and $0.5 million for the six months ended December 31, 2025 and 2024, respectively. Our capital expenditures were mainly used for vessel purchase and improvements.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had an outstanding loan of $2,101,891 as of December 31, 2025. The Group has also entered into non-cancellable operating and financing lease agreements to charter-in vessels, which will expire in January 2026, September 2028 and January 2029,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2025, which are presented on an undiscounted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Payment Due by Fiscal Years Ending 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5"/>
              </w:rPr>
              <w:t>1 – 3 Years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5"/>
              </w:rPr>
              <w:t>3 – 5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5 Years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arrangements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14,002,884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2,080,635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7,739,495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4,182,754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Loan</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1,301,376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16,132,404</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2,908,779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9,040,871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4,182,754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off-balance sheet arrangements for six months ended December 31, 2025 and 2024 that have or that in the opinion of management are likely to have, a current or future material effect on our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4.D. Property, Plants, and Equipment — Intellectual Property” in the 20-F filed on October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the Company’s operating results. Although the Company does not believe that inflation has had a material impact on its financial position or results of operations to date, a high rate of inflation in the future may have an adverse effect on the Company’s ability to maintain current levels of operating expense as a percentage of sales revenue if the revenues do not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expenses on our long-term loan. Our long-term loan bears interest at variable rate. Our future interest expenses may exceed expectations due to changes in market interest rates. Increased interest rates may have a material impact on our results of operations and financial condition. Historically, we incurred total interest expense amounted to $1.2 million for the six months ended December 31, 2025 and 2024. Increased interest rates will have a direct impact on us by increasing our interest expenses and in turn decreasing our cash. As of December 31, 2025, we had approximately total $2.1 million of long-term loan. In addition, as increased interest rates would make it more costly for us to fund our operations by borrowing, we would need to take additional measures to maintain a healthy cash flow, such as by tightening our control over accounts payable and accounts receivable. We may do so by, for example, further negotiating credit terms with customers and suppliers. As a result, our accounts receivable may decrease and our accounts payable may increase to offset the impact of higher borrowing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a combination of deficiencies, in internal control, such that there is a reasonable possibility that a material misstatement of our company’s annual or interim consolidated financial statements will not be prevented or detected on a timely basis. In connection with the audits of our consolidated financial statements included in this annual report, we and our independent registered public accounting firm identified one material weaknesses in our internal control over financial reporting as of December 31, 2025.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remediate our identified material weakness, we are in the process of implementing a number of measures to improve our internal controls over financial reporting, including, among others: (a) hiring additional qualified accounting and financial personnel with appropriate knowledge and experience in U.S. GAAP and SEC reporting requirements and (b)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our unaudited condensed consolidated financial statements we have made estimates and assumptions that affect the reported amounts of assets and liabilities at the date of the unaudited condensed consolidated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accounting estimates required to be made by management include, but are not limited to impairment of long-lived assets, determination of incremental borrowing rate for leases, expected credit loss of receivables. A summary of our significant accounting policies which are important to the portrayal of our financial condition and results of operations is set forth in Note 2 to our unaudited condensed consolidated financial statements included in this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on fair value of vessels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Vessels, totaling approximately $47.9 million as of December 31, 2025 and accounting for 76% of our total assets, are our most important operating assets. We review periodically for potential impairment whenever events or changes in circumstances indicate that the carrying value may not be fully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for impairment and determined that there was no impairment as of December 31, 2025 and June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list of recent relevant accounting pronouncements is included in Note 2 “Summary of Significant Accounting Policies” of our unaudited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Exhibit 99.2</w:t>
            </w: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INDEX TO UNAUDITED CONDENSED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80" w:type="dxa"/>
            <w:vAlign w:val="bottom"/>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INTERCONT (CAYMAN) LIMITED</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Balance Sheets as of December 31, 2025 and June 30, 2025</w:t>
            </w:r>
          </w:p>
        </w:tc>
        <w:tc>
          <w:tcPr>
            <w:tcW w:w="31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Income for the Six Months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Shareholders’ Equity for the Six Months Ended December 31, 2025 and</w:t>
            </w: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4620" w:type="dxa"/>
            <w:vAlign w:val="bottom"/>
            <w:tcBorders>
              <w:top w:val="single" w:sz="8" w:color="0000EE"/>
            </w:tcBorders>
            <w:gridSpan w:val="2"/>
            <w:shd w:val="clear" w:color="auto" w:fill="CCEEFF"/>
          </w:tcPr>
          <w:p>
            <w:pPr>
              <w:jc w:val="right"/>
              <w:ind w:right="4170"/>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140" w:type="dxa"/>
            <w:vAlign w:val="bottom"/>
            <w:tcBorders>
              <w:top w:val="single" w:sz="8" w:color="0000EE"/>
            </w:tcBorders>
            <w:shd w:val="clear" w:color="auto" w:fill="CCEEFF"/>
          </w:tcPr>
          <w:p>
            <w:pPr>
              <w:spacing w:after="0"/>
              <w:rPr>
                <w:sz w:val="17"/>
                <w:szCs w:val="17"/>
                <w:color w:val="auto"/>
              </w:rPr>
            </w:pPr>
          </w:p>
        </w:tc>
        <w:tc>
          <w:tcPr>
            <w:tcW w:w="13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1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December 31, 2025 and 2024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F-6 – F-28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260" w:type="dxa"/>
            <w:vAlign w:val="bottom"/>
            <w:tcBorders>
              <w:top w:val="single" w:sz="8" w:color="0000EE"/>
              <w:bottom w:val="single" w:sz="8" w:color="auto"/>
            </w:tcBorders>
          </w:tcPr>
          <w:p>
            <w:pPr>
              <w:spacing w:after="0"/>
              <w:rPr>
                <w:sz w:val="24"/>
                <w:szCs w:val="24"/>
                <w:color w:val="auto"/>
              </w:rPr>
            </w:pPr>
          </w:p>
        </w:tc>
        <w:tc>
          <w:tcPr>
            <w:tcW w:w="5320" w:type="dxa"/>
            <w:vAlign w:val="bottom"/>
            <w:tcBorders>
              <w:top w:val="single" w:sz="8" w:color="CCEEFF"/>
              <w:bottom w:val="single" w:sz="8" w:color="auto"/>
            </w:tcBorders>
            <w:gridSpan w:val="5"/>
          </w:tcPr>
          <w:p>
            <w:pPr>
              <w:jc w:val="center"/>
              <w:ind w:right="3680"/>
              <w:spacing w:after="0"/>
              <w:rPr>
                <w:sz w:val="20"/>
                <w:szCs w:val="20"/>
                <w:color w:val="auto"/>
              </w:rPr>
            </w:pPr>
            <w:r>
              <w:rPr>
                <w:rFonts w:ascii="Times New Roman" w:cs="Times New Roman" w:eastAsia="Times New Roman" w:hAnsi="Times New Roman"/>
                <w:sz w:val="18"/>
                <w:szCs w:val="18"/>
                <w:color w:val="auto"/>
                <w:w w:val="95"/>
              </w:rPr>
              <w:t>F-1</w:t>
            </w:r>
          </w:p>
        </w:tc>
        <w:tc>
          <w:tcPr>
            <w:tcW w:w="11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color w:val="auto"/>
              </w:rPr>
              <w:t>(Audited)</w:t>
            </w:r>
          </w:p>
        </w:tc>
        <w:tc>
          <w:tcPr>
            <w:tcW w:w="100" w:type="dxa"/>
            <w:vAlign w:val="bottom"/>
          </w:tcPr>
          <w:p>
            <w:pPr>
              <w:spacing w:after="0"/>
              <w:rPr>
                <w:sz w:val="16"/>
                <w:szCs w:val="16"/>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4,042,661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5,648,749</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287,193</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1,018,315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7,900,779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788,351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412,873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331,948</w:t>
            </w:r>
          </w:p>
        </w:tc>
      </w:tr>
      <w:tr>
        <w:trPr>
          <w:trHeight w:val="23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10,300,869</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12,649,632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18,375,425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Vessels,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47,871,907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49,722,428</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dry dock cost, net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1,107,701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682,637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asset-operating lease,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1,560,385</w:t>
            </w:r>
          </w:p>
        </w:tc>
      </w:tr>
      <w:tr>
        <w:trPr>
          <w:trHeight w:val="23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non-current assets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1,535,959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475,000</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50,563,449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52,446,956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70,822,381</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maturity of long-term loan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1,445,984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1,656,288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854,400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1,025,427</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497,360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433,125</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to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21,502,619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24,553,231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1,238,745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1,113,103</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1,437,353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3,279,203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3,338,390</w:t>
            </w: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payable, current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507,479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28,818,311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34,064,396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loan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1,252,657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liabilities-non-current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9,035,680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10,677,310</w:t>
            </w: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9,809,192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11,929,967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38,627,503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45,994,363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39,793,402 shares authorized, 1,012,774 and 860,402 shares issued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as of December 31, 2025 and June 30, 2025, respectively*</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w:t>
            </w:r>
          </w:p>
        </w:tc>
      </w:tr>
      <w:tr>
        <w:trPr>
          <w:trHeight w:val="198"/>
        </w:trPr>
        <w:tc>
          <w:tcPr>
            <w:tcW w:w="86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206,598 shares authorized, 206,598 shares issued and outstanding as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both December 31, 2025 and June 30, 2025*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14,897,248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12,457,680</w:t>
            </w:r>
          </w:p>
        </w:tc>
      </w:tr>
      <w:tr>
        <w:trPr>
          <w:trHeight w:val="250"/>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9,685,281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12,367,670</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24,585,578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24,828,018</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63,213,081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70,822,381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recapitalization and 25:1 share consolidation effective April 2, 2026 as described in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charter revenue – related party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9,176,820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third parties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1,445,122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Vessel management services revenue – related parties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1,966,321</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1,979,244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12,588,263</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13,386,367</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time charter revenue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6,676,992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vessel management services revenue</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2,905,329</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3,054,356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9,582,321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9,564,100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3,005,942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3,822,267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3,894,427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574,041</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4,468,468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1,697,930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(1,462,526)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(1,192,046)</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(1,191,971)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(28,139)</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(39,965)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(1,219,863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(1,228,405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(Loss)/income before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895,932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1,076,035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recapitalization and 25:1 share consolidation effective April 2, 2026 as described in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Attributable to</w:t>
      </w:r>
    </w:p>
    <w:p>
      <w:pPr>
        <w:spacing w:after="0" w:line="3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Intercont’s Shareholders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Balance as of June 30, 2024 </w:t>
      </w:r>
      <w:r>
        <w:rPr>
          <w:rFonts w:ascii="Times New Roman" w:cs="Times New Roman" w:eastAsia="Times New Roman" w:hAnsi="Times New Roman"/>
          <w:sz w:val="17"/>
          <w:szCs w:val="17"/>
          <w:color w:val="auto"/>
        </w:rPr>
        <w:t>Collection of subscription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14" w:lineRule="exact"/>
        <w:rPr>
          <w:sz w:val="20"/>
          <w:szCs w:val="20"/>
          <w:color w:val="auto"/>
        </w:rPr>
      </w:pPr>
    </w:p>
    <w:p>
      <w:pPr>
        <w:ind w:left="1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9"/>
        </w:trPr>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 *</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120" w:type="dxa"/>
            <w:vAlign w:val="bottom"/>
          </w:tcPr>
          <w:p>
            <w:pPr>
              <w:spacing w:after="0"/>
              <w:rPr>
                <w:sz w:val="22"/>
                <w:szCs w:val="22"/>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100" w:type="dxa"/>
            <w:vAlign w:val="bottom"/>
          </w:tcPr>
          <w:p>
            <w:pPr>
              <w:spacing w:after="0"/>
              <w:rPr>
                <w:sz w:val="22"/>
                <w:szCs w:val="2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receivable</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Deficits)</w:t>
            </w: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206,598</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(1,350,000)</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9,263,403</w:t>
            </w:r>
          </w:p>
        </w:tc>
        <w:tc>
          <w:tcPr>
            <w:tcW w:w="2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$10,932,803</w:t>
            </w:r>
          </w:p>
        </w:tc>
        <w:tc>
          <w:tcPr>
            <w:tcW w:w="20" w:type="dxa"/>
            <w:vAlign w:val="bottom"/>
          </w:tcPr>
          <w:p>
            <w:pPr>
              <w:spacing w:after="0"/>
              <w:rPr>
                <w:sz w:val="20"/>
                <w:szCs w:val="20"/>
                <w:color w:val="auto"/>
              </w:rPr>
            </w:pPr>
          </w:p>
        </w:tc>
      </w:tr>
      <w:tr>
        <w:trPr>
          <w:trHeight w:val="405"/>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1,350,000</w:t>
            </w:r>
          </w:p>
        </w:tc>
        <w:tc>
          <w:tcPr>
            <w:tcW w:w="1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0" w:type="dxa"/>
            <w:vAlign w:val="bottom"/>
          </w:tcPr>
          <w:p>
            <w:pPr>
              <w:spacing w:after="0"/>
              <w:rPr>
                <w:sz w:val="24"/>
                <w:szCs w:val="24"/>
                <w:color w:val="auto"/>
              </w:rPr>
            </w:pPr>
          </w:p>
        </w:tc>
      </w:tr>
      <w:tr>
        <w:trPr>
          <w:trHeight w:val="234"/>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895,932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895,932</w:t>
            </w:r>
          </w:p>
        </w:tc>
        <w:tc>
          <w:tcPr>
            <w:tcW w:w="20" w:type="dxa"/>
            <w:vAlign w:val="bottom"/>
          </w:tcPr>
          <w:p>
            <w:pPr>
              <w:spacing w:after="0"/>
              <w:rPr>
                <w:sz w:val="20"/>
                <w:szCs w:val="20"/>
                <w:color w:val="auto"/>
              </w:rPr>
            </w:pPr>
          </w:p>
        </w:tc>
      </w:tr>
      <w:tr>
        <w:trPr>
          <w:trHeight w:val="27"/>
        </w:trPr>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466"/>
        </w:trPr>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793,402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206,598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3,016,900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10,159,335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13,178,735</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-916305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-496570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20" w:space="200"/>
            <w:col w:w="89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860,402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2,152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206,598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$12,457,680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12,367,670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$24,828,018</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for private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29,990</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191,985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192,060</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commitment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pre-delivery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for convertible note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105,619</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1,972,625</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1,972,889</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16,763</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274,958</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r>
      <w:tr>
        <w:trPr>
          <w:trHeight w:val="23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(2,682,389)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(2,682,389)</w:t>
            </w:r>
          </w:p>
        </w:tc>
      </w:tr>
      <w:tr>
        <w:trPr>
          <w:trHeight w:val="180"/>
        </w:trPr>
        <w:tc>
          <w:tcPr>
            <w:tcW w:w="232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8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1,012,774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2,533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206,598</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14,897,248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9,685,281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24,585,578</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recapitalization and 25:1 share consolidation effective April 2, 2026 as described in Note 13.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(2,682,389)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895,932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vessels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1,847,689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1,853,833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32,838</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dry-docking cost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321,704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137,375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1,560,385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1,498,080</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short-term investment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20,597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discount for long-term payable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50,827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392,605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261,821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receivable-related parties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1,013,315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(8,173,385)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(85,424)</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(171,027)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14,152</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liabilities-related party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125,641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(21,911)</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(80,926)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106,889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(50,612)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94,383</w:t>
            </w: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(1,437,353)</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(1,656,638)</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(7,212,036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3,182,157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Purchase of long-lived assets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Redemption of short-term investment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18"/>
          <w:szCs w:val="18"/>
          <w:color w:val="auto"/>
        </w:rPr>
        <w:t>(1,316,711)</w:t>
      </w:r>
      <w:r>
        <w:rPr>
          <w:sz w:val="20"/>
          <w:szCs w:val="20"/>
          <w:color w:val="auto"/>
        </w:rPr>
        <w:tab/>
      </w:r>
      <w:r>
        <w:rPr>
          <w:rFonts w:ascii="Times New Roman" w:cs="Times New Roman" w:eastAsia="Times New Roman" w:hAnsi="Times New Roman"/>
          <w:sz w:val="18"/>
          <w:szCs w:val="18"/>
          <w:color w:val="auto"/>
        </w:rPr>
        <w:t>(546,901)</w:t>
      </w:r>
    </w:p>
    <w:p>
      <w:pPr>
        <w:spacing w:after="0" w:line="2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10,280,272</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8,963,561</w:t>
      </w:r>
      <w:r>
        <w:rPr>
          <w:sz w:val="20"/>
          <w:szCs w:val="20"/>
          <w:color w:val="auto"/>
        </w:rPr>
        <w:tab/>
      </w:r>
      <w:r>
        <w:rPr>
          <w:rFonts w:ascii="Times New Roman" w:cs="Times New Roman" w:eastAsia="Times New Roman" w:hAnsi="Times New Roman"/>
          <w:sz w:val="18"/>
          <w:szCs w:val="18"/>
          <w:b w:val="1"/>
          <w:bCs w:val="1"/>
          <w:color w:val="auto"/>
        </w:rPr>
        <w:t>(546,901)</w:t>
      </w:r>
    </w:p>
    <w:p>
      <w:pPr>
        <w:spacing w:after="0" w:line="200" w:lineRule="exact"/>
        <w:rPr>
          <w:sz w:val="20"/>
          <w:szCs w:val="20"/>
          <w:color w:val="auto"/>
        </w:rPr>
      </w:pPr>
    </w:p>
    <w:p>
      <w:pPr>
        <w:sectPr>
          <w:pgSz w:w="11900" w:h="16838" w:orient="portrait"/>
          <w:cols w:equalWidth="0" w:num="2">
            <w:col w:w="8280" w:space="720"/>
            <w:col w:w="2240"/>
          </w:cols>
          <w:pgMar w:left="320" w:top="333"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loan</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(828,144)</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(828,144)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lease liabilities-principal repayment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(1,694,418)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(1,626,284)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192,060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convertible note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1,972,889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loan owing to related-party</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IPO cost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(377,543)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(3,357,613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(1,481,971</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(1,606,088)</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1,153,285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beginning of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5,648,749</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3,751,921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4,042,661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4,905,206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562,952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1,051,307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commitment shares and pre-delivery shares for convertible note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1,972,889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Intercont (Cayman) Limited (“Intercont” or the “Company”) was established under the laws of the Cayman Islands on July 4, 2023 as a holding company. The Company, through its subsidiaries (collectively, the “Group”) listed below, are principally engaged in time charter and vessel management services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Reorganization, the Company’s subsidiaries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direct/indirect</w:t>
            </w:r>
          </w:p>
        </w:tc>
        <w:tc>
          <w:tcPr>
            <w:tcW w:w="16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38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Activities</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Fortune Ocean Holdings Limited (“Fortune Ocean”)</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January 22, 2024</w:t>
            </w:r>
          </w:p>
        </w:tc>
        <w:tc>
          <w:tcPr>
            <w:tcW w:w="2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British Virgin Islands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(“BVI”)</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Top Wisdom Shipping Management Co., Limited (“Top</w:t>
            </w:r>
          </w:p>
        </w:tc>
        <w:tc>
          <w:tcPr>
            <w:tcW w:w="200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February 1, 2013</w:t>
            </w:r>
          </w:p>
        </w:tc>
        <w:tc>
          <w:tcPr>
            <w:tcW w:w="1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Hong Kong</w:t>
            </w:r>
          </w:p>
        </w:tc>
        <w:tc>
          <w:tcPr>
            <w:tcW w:w="138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Vessel management</w:t>
            </w:r>
          </w:p>
        </w:tc>
      </w:tr>
      <w:tr>
        <w:trPr>
          <w:trHeight w:val="234"/>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Wisdom”)</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services</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Moral Shipping Limited (“Top Moral”)</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12, 2013</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 Legend Shipping Co., Limited (“Top Legend”)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6, 2013</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Creation International (HK) Limited (“Top Creation”)</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July 29, 2011</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Bright Marine Service Co., Limited (“Max Bright”)</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April 2, 2014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Hong Kong</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Time charter service</w:t>
            </w: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Singapore Openwindow Technology Pte. Ltd.</w:t>
            </w:r>
          </w:p>
        </w:tc>
        <w:tc>
          <w:tcPr>
            <w:tcW w:w="20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July 28, 2023</w:t>
            </w:r>
          </w:p>
        </w:tc>
        <w:tc>
          <w:tcPr>
            <w:tcW w:w="17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1380" w:type="dxa"/>
            <w:vAlign w:val="bottom"/>
            <w:gridSpan w:val="2"/>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Process of</w:t>
            </w:r>
          </w:p>
        </w:tc>
      </w:tr>
      <w:tr>
        <w:trPr>
          <w:trHeight w:val="216"/>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(“Openwindow”)</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pulp, paper and</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paperboard</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below, the Company, through a series of transactions which is accounted for as a reorganization of entities under a common control (the “Reorganization”), became the ultimate parent of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reorganization of the legal structure was completed on March 27, 2024. The reorganization involved:</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the Company’s wholly owned subsidiary-Openwindow on July 28, 2023</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Fortune Ocean on January 22, 2024 and all the equity interests of Top Wisdom, Top Moral, Top Legend, Top Creation and Max Bright were transferred to Fortune Ocean on March 14,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shareholders’ equity interests in Fortune Ocean were transferred to the Company on March 27, 2024 under common control and at nominal consideration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together with its subsidiaries, is effectively controlled by the same group of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unaudited condensed consolidated financial statements in accordance with ASC 805-50-45-5.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 (cont.)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consideration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its liquidity, the Group monitors and analyzes its cash on hand, ability to generate sufficient revenue sources in the future and operating and capital expenditure commitments. As of December 31, 2025, the Group had cash of approximately $4,042,661. As of December 31, 2025 and June 30, 2025, the Group’s working capital deficit was $16,168,679 and $15,688,971, respectively. For the six months ended December 31, 2025, the Group’s net loss was $2,682,389.</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As of March 31, 2026, the Company had cash and cash equivalents of $3,808,469.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financing, the management has alleviated the substantial doubt about the Group’s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December 31, 2025 and 2024 are not necessarily indicative of the results that may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and balances are eliminated upon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50% of the voting power; or has the power to govern the financial and operating policies, to appoint or remove the majority of the members of the board of directors, or to cast a majority of votes at the meeting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Significant accounting estimates required to be made by management include, but are not limited to impairment of long-lived assets, determination of incremental borrowing rate for leases, expected credit loss of receivables.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consolidated statements of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207" w:lineRule="exact"/>
        <w:rPr>
          <w:sz w:val="20"/>
          <w:szCs w:val="20"/>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9" w:lineRule="exact"/>
        <w:rPr>
          <w:rFonts w:ascii="Times New Roman" w:cs="Times New Roman" w:eastAsia="Times New Roman" w:hAnsi="Times New Roman"/>
          <w:sz w:val="18"/>
          <w:szCs w:val="18"/>
          <w:color w:val="auto"/>
        </w:rPr>
      </w:pPr>
    </w:p>
    <w:p>
      <w:pPr>
        <w:jc w:val="both"/>
        <w:ind w:left="740" w:right="20" w:hanging="354"/>
        <w:spacing w:after="0" w:line="266"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229"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disclosed, the fair value of the Group’s financial instruments, including cash, accounts receivable, due from related parties, accounts payable, advance from customers, due to related parties, accrued expenses and current maturity of long-term loan approximates their recorded values. The Group determined that the carrying value of the long-term loans approximated their fair value by comparing the stated loan interest rate to the rate charged by similar financial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comprises cash at banks and on hand, which includes deposits with original maturities of three months or less with commercial banks.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of receivables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six months ended December 31, 2025 and 2024.</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six months ended December 31, 2025 and 2024, the Group provided allowance for credit losses of nil.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provided in amounts sufficient to amortize the cost of the related assets over their useful lives using the straight-line method, as follows:</w:t>
      </w:r>
    </w:p>
    <w:p>
      <w:pPr>
        <w:spacing w:after="0" w:line="171"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360" w:val="left"/>
        </w:tabs>
        <w:rPr>
          <w:sz w:val="20"/>
          <w:szCs w:val="20"/>
          <w:color w:val="auto"/>
        </w:rPr>
      </w:pPr>
      <w:r>
        <w:rPr>
          <w:rFonts w:ascii="Times New Roman" w:cs="Times New Roman" w:eastAsia="Times New Roman" w:hAnsi="Times New Roman"/>
          <w:sz w:val="18"/>
          <w:szCs w:val="18"/>
          <w:color w:val="auto"/>
        </w:rPr>
        <w:t>Office and electronic equipment</w:t>
      </w:r>
      <w:r>
        <w:rPr>
          <w:sz w:val="20"/>
          <w:szCs w:val="20"/>
          <w:color w:val="auto"/>
        </w:rPr>
        <w:tab/>
      </w:r>
      <w:r>
        <w:rPr>
          <w:rFonts w:ascii="Times New Roman" w:cs="Times New Roman" w:eastAsia="Times New Roman" w:hAnsi="Times New Roman"/>
          <w:sz w:val="17"/>
          <w:szCs w:val="17"/>
          <w:color w:val="auto"/>
        </w:rPr>
        <w:t>3 years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income in other income or expenses. Depreciation expense was $3,567 and $782 for the six months ended December 31, 2025 and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Vessels,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Vessels under financing leases are also included in this caption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the Group concluded that events and circumstances did not trigger the existence of potential impairment of its vessels and other long-lived assets and that step one of the impairment analysis was not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dry docking cost,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capitalized as part of the drydocking consist principally of the actual costs incurred at the yard, and expenses relating to spare parts, paints, lubricants and services incurred solely during the drydocking or special survey period. As of December 31, 2025 and June 30, 2025, the deferred dry-docking cost, net was $1,107,701 and $682,637, respectively. For the six months ended December 31, 2025 and 2024, the amortization expense for the deferred dry-docking costs amounted to $321,704 and $137,375,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is engaged in vessels rental and management services and primarily derives its revenue from time charter contracts and provides vessel management service.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contract(s) with a customer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(or as) the entity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Time charter revenue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Vessel management services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revenue streams were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 (over time recognition)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9,176,820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services revenue (over time recognition)</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3,411,443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3,408,509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12,588,263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13,386,367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the disaggregated revenues by customer location were as follows: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Hong Kong S.A.R.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1,892,510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1,445,646</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1,429,265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12,588,263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13,386,367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prior to it being earned. These amounts are recognized as revenue over the charter period. As of December 31, 2025 and June 30, 2025, contract liabilities amounted to $497,360, and $433,125, respectively. All contract liabilities as of June 30, 2025 have been recognized as revenue in the next month. All contract liabilities as of December 31, 2025 have been recognized as revenue in January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has lease contracts for vessels and office space. Leases are classified as either operating leases or finance leases, based on an assessment of the terms of the lease. The Group records lease liabilities and right-of-use assets on its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leases with a lease term not more than one year and without a purchase option (short-term leases), the Group records operating lease expense in its consolidated statements of income on a straight-line basis over the lease term and record variable lease payments as incurred.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December 31, 2025 and 2024, there were 1,076,035 and 1,000,000 weighted average basic and dilutive shares,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does not review segment assets and segment expenses at a level different than what is reported in the Company’s Consolidated Balance Sheets and Consolidated Statements of Income. Additionally, the CODM regularly receives information about the Company’s capital expenditures which are reported in the Company’s Consolidated Statement of Cash Flows as purchase of long-lived assets under investing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segment items include research and development expenses related to seaborne innovational business with current research direction of seaborne pulping for the six months ended December 31, 2025 and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2025 and 2024, all revenue is generated outside of the United States. For disaggregated revenues by revenue streams and customer location, please see Revenue Recognition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long-lived assets consist primarily of vessels and property and equipment, all of which are located outside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Concentration of credit risk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December 31, 2025, and June 30, 2025, the Group’s uninsured cash balance was approximately $3,875,168 and $5,478,297,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Significant customers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As of December 31, 2025, Customer B accounted for approximately 98% of the Group’s accounts receivable. As of June 30, 2025, Customer A (Topsheen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 related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Significant suppliers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2025, Supplier A accounted for approximately 17% of the Group’s total cost of revenues. For the six months ended December 31, 2024, Supplier A accounted for approximately 17% of the Group’s total cost of revenues. As of December 31, 2025 and June 30, 2025, no supplier accounted for more than 10% of the Company’s total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unaudited condensed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adoption of this guidance did not have a material impact on the Group’s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unaudited condensed consolidated financial statements.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adoption of this guidance did not have a material impact on the Group’s unaudited condensed consolidated financial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ASU 2025-05 amends ASC 326, Financial Instruments—Credit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Group’s annual reporting periods beginning after December 15, 2025, and interim reporting periods within those annual reporting periods, with early adoption permitted. ASU 2025-05 should be applied on a prospective basis. The Group is currently assessing the impact this standard will have on the Group’s Consolidated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Group is currently evaluating the impact of ASU 2025-11 on its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Group is currently evaluating the impact of ASU 2025-12 on its financial statements and related disclosures.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Group’s consolidated balance sheets, statements of income and statements of cash flows.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PREPAYMENTS AND OTHER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 consisted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crew</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 to employee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57,408</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Rental deposit</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7,479,825</w:t>
            </w:r>
          </w:p>
        </w:tc>
        <w:tc>
          <w:tcPr>
            <w:tcW w:w="160" w:type="dxa"/>
            <w:vAlign w:val="bottom"/>
          </w:tcPr>
          <w:p>
            <w:pPr>
              <w:spacing w:after="0"/>
              <w:rPr>
                <w:sz w:val="22"/>
                <w:szCs w:val="22"/>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76,743</w:t>
            </w:r>
          </w:p>
        </w:tc>
        <w:tc>
          <w:tcPr>
            <w:tcW w:w="1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7,900,779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Prepayments and other non-current assets consisted of the following: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Loan security deposit</w:t>
            </w:r>
            <w:r>
              <w:rPr>
                <w:rFonts w:ascii="Times New Roman" w:cs="Times New Roman" w:eastAsia="Times New Roman" w:hAnsi="Times New Roman"/>
                <w:sz w:val="28"/>
                <w:szCs w:val="28"/>
                <w:color w:val="auto"/>
                <w:vertAlign w:val="superscript"/>
              </w:rPr>
              <w:t>(3)</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Prepaid consulting service fee</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960,959</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1,535,959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deposit represents a deposit of $100,000 paid to the lessor of Top Advancer (see Note 8). During the six months ended December 31, 2025, the Company received $400,000 of this deposit, and the remaining balance is expected to be received in March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prepaid consulting service fees of $8,440,784 paid to third-party service providers for consulting. These services are expected to be rendered over a contractual period of two years. The Company amortizes the prepaid consulting service fees on a straight-line basis over the service period. As of December 31, 2025, $7,479,825 and $960,959 are classified as current and non-current, respectively, based on the expected timing of service delivery.</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long-term loan security deposit of $475,000, which is expected to be collected at the end of long-term loan agreement (see Note 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VESSELS, NET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Vessels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70,448,896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(20,726,468)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49,722,428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(1,844,122)</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(1,844,122)</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(6,399)</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70,442,497</w:t>
            </w:r>
          </w:p>
        </w:tc>
        <w:tc>
          <w:tcPr>
            <w:tcW w:w="24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(22,570,590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47,871,907</w:t>
            </w:r>
          </w:p>
        </w:tc>
        <w:tc>
          <w:tcPr>
            <w:tcW w:w="100" w:type="dxa"/>
            <w:vAlign w:val="bottom"/>
            <w:tcBorders>
              <w:top w:val="single" w:sz="8" w:color="CCEEFF"/>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balances as of December 31, 2025 and June 30, 2025 are analyzed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37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Owned Vessel*</w:t>
            </w:r>
          </w:p>
        </w:tc>
        <w:tc>
          <w:tcPr>
            <w:tcW w:w="3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3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14,094,790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(2,491,323)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11,603,467</w:t>
            </w: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(433,273)</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(433,273)</w:t>
            </w:r>
          </w:p>
        </w:tc>
      </w:tr>
      <w:tr>
        <w:trPr>
          <w:trHeight w:val="250"/>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14,094,790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3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F-16</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VESSELS, NET (cont.)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7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140" w:type="dxa"/>
            <w:vAlign w:val="bottom"/>
          </w:tcPr>
          <w:p>
            <w:pPr>
              <w:spacing w:after="0"/>
              <w:rPr>
                <w:sz w:val="21"/>
                <w:szCs w:val="21"/>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56,354,106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(18,235,145)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38,118,961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(1,410,849)</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(1,410,849)</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movement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(6,399)</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56,347,707</w:t>
            </w:r>
          </w:p>
        </w:tc>
        <w:tc>
          <w:tcPr>
            <w:tcW w:w="24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(19,645,994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36,701,713</w:t>
            </w:r>
          </w:p>
        </w:tc>
        <w:tc>
          <w:tcPr>
            <w:tcW w:w="100" w:type="dxa"/>
            <w:vAlign w:val="bottom"/>
            <w:tcBorders>
              <w:top w:val="single" w:sz="8" w:color="CCEEFF"/>
            </w:tcBorders>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w:t>
        <w:tab/>
        <w:t>Owned Vessel:</w:t>
      </w:r>
    </w:p>
    <w:p>
      <w:pPr>
        <w:spacing w:after="0" w:line="25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August 14, 2022, the Group took delivery of the Top Brilliance, a 2008-built vessel of 56,823 dwt (Deadweight Tonnage), from an unrelated third party, for an acquisition cost of $14,094,790. Depreciation expense amounted to $433,273 and $433,273 for the six months ended December 31, 2025 and 2024.</w:t>
      </w:r>
    </w:p>
    <w:p>
      <w:pPr>
        <w:spacing w:after="0" w:line="163"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Right-of-use assets under finance lease: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Group completed the installation of desulfurizing towers on Top Diligence and Top Elegance. The original value of $2,059,036 is depreciated during the useful life.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vessels under finance lease was $1,410,849 and $1,419,778 for six months ended December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Short term investment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June 30, 2025, the Group’s short-term investments are comprised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investment fund</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10,300,869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$10,280,272 after deducting redemption fees and bank charges.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LIABITIES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306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70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welfare payable</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337,635</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402,458</w:t>
            </w:r>
          </w:p>
        </w:tc>
        <w:tc>
          <w:tcPr>
            <w:tcW w:w="0" w:type="dxa"/>
            <w:vAlign w:val="bottom"/>
          </w:tcPr>
          <w:p>
            <w:pPr>
              <w:spacing w:after="0"/>
              <w:rPr>
                <w:sz w:val="1"/>
                <w:szCs w:val="1"/>
                <w:color w:val="auto"/>
              </w:rPr>
            </w:pPr>
          </w:p>
        </w:tc>
      </w:tr>
      <w:tr>
        <w:trPr>
          <w:trHeight w:val="23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9,465</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50,056</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1,238,745</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1,113,103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LONG-TERM PAYABLE</w:t>
            </w:r>
          </w:p>
        </w:tc>
        <w:tc>
          <w:tcPr>
            <w:tcW w:w="1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70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306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708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payable, current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payable represents the remaining balance for desulfurizing towers of Top Diligence and Top Elegance. which was fully paid off in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cash paid for operating lease liabilities amounted to $1,708,380 and $1,682,250,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for the six months ended December 31, 2025 and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600" w:type="dxa"/>
            <w:vAlign w:val="bottom"/>
            <w:tcBorders>
              <w:bottom w:val="single" w:sz="8" w:color="CCEEFF"/>
            </w:tcBorders>
          </w:tcPr>
          <w:p>
            <w:pPr>
              <w:spacing w:after="0"/>
              <w:rPr>
                <w:sz w:val="21"/>
                <w:szCs w:val="21"/>
                <w:color w:val="auto"/>
              </w:rPr>
            </w:pPr>
          </w:p>
        </w:tc>
        <w:tc>
          <w:tcPr>
            <w:tcW w:w="50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operating lease</w:t>
            </w:r>
          </w:p>
        </w:tc>
        <w:tc>
          <w:tcPr>
            <w:tcW w:w="5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Variable operating lease</w:t>
            </w:r>
          </w:p>
        </w:tc>
        <w:tc>
          <w:tcPr>
            <w:tcW w:w="5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129,241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103,111</w:t>
            </w:r>
          </w:p>
        </w:tc>
        <w:tc>
          <w:tcPr>
            <w:tcW w:w="0" w:type="dxa"/>
            <w:vAlign w:val="bottom"/>
          </w:tcPr>
          <w:p>
            <w:pPr>
              <w:spacing w:after="0"/>
              <w:rPr>
                <w:sz w:val="1"/>
                <w:szCs w:val="1"/>
                <w:color w:val="auto"/>
              </w:rPr>
            </w:pPr>
          </w:p>
        </w:tc>
      </w:tr>
      <w:tr>
        <w:trPr>
          <w:trHeight w:val="27"/>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5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1,708,380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1,682,250</w:t>
            </w:r>
          </w:p>
        </w:tc>
        <w:tc>
          <w:tcPr>
            <w:tcW w:w="0" w:type="dxa"/>
            <w:vAlign w:val="bottom"/>
          </w:tcPr>
          <w:p>
            <w:pPr>
              <w:spacing w:after="0"/>
              <w:rPr>
                <w:sz w:val="1"/>
                <w:szCs w:val="1"/>
                <w:color w:val="auto"/>
              </w:rPr>
            </w:pPr>
          </w:p>
        </w:tc>
      </w:tr>
      <w:tr>
        <w:trPr>
          <w:trHeight w:val="21"/>
        </w:trPr>
        <w:tc>
          <w:tcPr>
            <w:tcW w:w="360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right"/>
              <w:ind w:right="2893"/>
              <w:spacing w:after="0"/>
              <w:rPr>
                <w:sz w:val="20"/>
                <w:szCs w:val="20"/>
                <w:color w:val="auto"/>
              </w:rPr>
            </w:pPr>
            <w:r>
              <w:rPr>
                <w:rFonts w:ascii="Times New Roman" w:cs="Times New Roman" w:eastAsia="Times New Roman" w:hAnsi="Times New Roman"/>
                <w:sz w:val="18"/>
                <w:szCs w:val="18"/>
                <w:color w:val="auto"/>
              </w:rPr>
              <w:t>F-18</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 (cont.)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variable operating lease expense depending on the BSI (Baltic Supramax index) published by the Baltic Exchange is measured on a monthly basis and recognized during the period in which it incurred.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 was as follows: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assets-operating lease, net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1,560,385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1,437,353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 for operating lease were as follows as of December 31, 2025 and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Remaining lease term and discount rate:</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3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 years</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operating lease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nil and $13,795 for the six months ended December 31, 2025 and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the Group took delivery of Top Diligence, a 2018-built Dry Cargo vessel of 48,500 dwt, for a 10-year bareboat charter-in agreement with Topsheen Shipping Group Limited (a related party, see Note 11). The bareboat charter-in provides for purchase obligation with a bargain purchase price at the end of 10-year charter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December 31, 2025 and June 30,2025, the outstanding balance of lease liabilities was $5,890,260 and $6,739,912, respectively, and is repayable in 32 months and 38 months in consecutive monthly installments, with an estimated purchase option of $1,490,000.</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2019, the Group took delivery of Top Elegance, a 2019-built Dry Cargo vessel of 48,500 dwt, for a 10-year bareboat charter-in agreement with Topsheen Shipping Group Limited (a related party, see Note 11).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December 31, 2025 and June 30, 2025, the outstanding balance of lease liabilities was $6,424,623 and $7,275,788, respectively, and is repayable in 42 months in consecutive monthly installments, with an estimated purchase option of $1,490,000.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 (cont.)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amount of financing lease expense, including amortization and interest expenses recognized in the unaudited condensed consolidated statements of income for the six months ended December 31, 2025 and 2024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expenses-fixed</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505,272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expenses-variable</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134,236</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277,905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1,800,206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2,259,592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variable interest expenses depending on LIBOR (later replaced by SOFR) are measured on a monthly basis and recognized during the period in which they are incurred.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financing leases was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assets-financing lease, net (included in Vessels, net, see Note 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36,701,714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38,118,961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Financing lease liabilities – current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3,279,203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 non-current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9,035,680</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10,677,310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12,314,883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14,015,700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financing leases were as follows as of December 31, 2025 and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60" w:type="dxa"/>
            <w:vAlign w:val="bottom"/>
          </w:tcPr>
          <w:p>
            <w:pPr>
              <w:spacing w:after="0"/>
              <w:rPr>
                <w:sz w:val="21"/>
                <w:szCs w:val="21"/>
                <w:color w:val="auto"/>
              </w:rPr>
            </w:pPr>
          </w:p>
        </w:tc>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Remaining lease term and discount rate: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3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2.84 years</w:t>
            </w: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3.34 years</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8"/>
              </w:rPr>
              <w:t>7.61%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schedule of maturities of financing lease liabilities (excluding variable payments) as of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ending June 30,</w:t>
            </w:r>
          </w:p>
        </w:tc>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2,080,635</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3,986,356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3,753,139</w:t>
            </w: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4,182,754</w:t>
            </w:r>
          </w:p>
        </w:tc>
      </w:tr>
      <w:tr>
        <w:trPr>
          <w:trHeight w:val="203"/>
        </w:trPr>
        <w:tc>
          <w:tcPr>
            <w:tcW w:w="41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59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14,002,884</w:t>
            </w:r>
          </w:p>
        </w:tc>
        <w:tc>
          <w:tcPr>
            <w:tcW w:w="100" w:type="dxa"/>
            <w:vAlign w:val="bottom"/>
            <w:tcBorders>
              <w:top w:val="single" w:sz="8" w:color="CCEEFF"/>
            </w:tcBorders>
          </w:tcPr>
          <w:p>
            <w:pPr>
              <w:spacing w:after="0"/>
              <w:rPr>
                <w:sz w:val="17"/>
                <w:szCs w:val="17"/>
                <w:color w:val="auto"/>
              </w:rPr>
            </w:pPr>
          </w:p>
        </w:tc>
      </w:tr>
      <w:tr>
        <w:trPr>
          <w:trHeight w:val="249"/>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9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12,314,883</w:t>
            </w:r>
          </w:p>
        </w:tc>
        <w:tc>
          <w:tcPr>
            <w:tcW w:w="100" w:type="dxa"/>
            <w:vAlign w:val="bottom"/>
          </w:tcPr>
          <w:p>
            <w:pPr>
              <w:spacing w:after="0"/>
              <w:rPr>
                <w:sz w:val="20"/>
                <w:szCs w:val="20"/>
                <w:color w:val="auto"/>
              </w:rPr>
            </w:pPr>
          </w:p>
        </w:tc>
      </w:tr>
      <w:tr>
        <w:trPr>
          <w:trHeight w:val="20"/>
        </w:trPr>
        <w:tc>
          <w:tcPr>
            <w:tcW w:w="41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1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F-20</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LONG-TERM LOAN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loan consists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Chailease International Financial Services (Singapore) Pte. Ltd. (due on August 8, 2027)</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2,101,891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2,908,945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w w:val="97"/>
              </w:rPr>
              <w:t>2,101,891</w:t>
            </w:r>
          </w:p>
        </w:tc>
        <w:tc>
          <w:tcPr>
            <w:tcW w:w="2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w w:val="97"/>
              </w:rPr>
              <w:t>2,908,945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Long-term loan – current portion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1,445,984</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1,656,288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Long-term loan – non-current portion</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655,907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1,252,657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11).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repayment schedule for the loan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 the period ending June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828,144</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June 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1,130,492</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170,884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(27,629)</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CONVERTIBLE NOTES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Class A ordinary shares, par value $0.0025 per share, of Company (the “Ordinary Shares”), upon the terms and subject to the limitations and conditions set forth in such Pre-Paid Purchase; (ii) 3,419 Class A Ordinary Shares as a commitment fee for the Pre-Paid Purchase facility set forth in the Purchase Agreement (the “Commitment Shares”); and (iii) 102,200 Class A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 (10) trading days prior to each Purchase Notice Date (as defined in the Purchase Agreement). The Company may not issue shares that would cause the Investor to beneficially own more than 9.99% of the Company’s outstanding Ordinary Shares at any time. The Company accounted for the convertible debt as a single instrument in accordance with ASC 470-20, measured at its amortized cost on the consolidated balance sheets. In accordance with ASC470-20-25-20A, the fair value of the Pre-delivery shares (102,200 Class A ordinary share) shall be recorded as an issuance cost to the Convertible note (with the fair value of the Pre-Delivery Shares limited to the net proceeds from the issuance convertible note).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CONVERTIBLE NOTES (cont.)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16,763 Class A Ordinary Shares to the Investor on December 2, 2025 in conversion of $275,000 convertible note balance.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convertible note accounted for at amortized cost as of December 31, 2025 consisted of following: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principal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OID</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cost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for Pre-Delivery Shares related to the issuance of Convertible Note</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interests for Convertible debt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392,605</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records transactions with various related parties. These related parties’ balances as of December 31, 2025 and June 30, 2025 and transactions for the six months ended December 31, 2025 and 2024 are identified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Related parties with transactions and related party relationships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100" w:type="dxa"/>
            <w:vAlign w:val="bottom"/>
            <w:tcBorders>
              <w:bottom w:val="single" w:sz="8" w:color="CCEEFF"/>
            </w:tcBorders>
          </w:tcPr>
          <w:p>
            <w:pPr>
              <w:spacing w:after="0"/>
              <w:rPr>
                <w:sz w:val="21"/>
                <w:szCs w:val="21"/>
                <w:color w:val="auto"/>
              </w:rPr>
            </w:pPr>
          </w:p>
        </w:tc>
        <w:tc>
          <w:tcPr>
            <w:tcW w:w="60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b w:val="1"/>
                <w:bCs w:val="1"/>
                <w:color w:val="auto"/>
              </w:rPr>
              <w:t>Relationship to the Group</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Shoucheng Lei</w:t>
            </w:r>
          </w:p>
        </w:tc>
        <w:tc>
          <w:tcPr>
            <w:tcW w:w="10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shareholder of the Group</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Ocean Master Worldwide Corporation</w:t>
            </w:r>
          </w:p>
        </w:tc>
        <w:tc>
          <w:tcPr>
            <w:tcW w:w="61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Controlled by Mr. Shoucheng Lei, Ms. Luan Chen and Mr. Jun Li, shareholders of</w:t>
            </w:r>
          </w:p>
        </w:tc>
      </w:tr>
      <w:tr>
        <w:trPr>
          <w:trHeight w:val="234"/>
        </w:trPr>
        <w:tc>
          <w:tcPr>
            <w:tcW w:w="5080" w:type="dxa"/>
            <w:vAlign w:val="bottom"/>
          </w:tcPr>
          <w:p>
            <w:pPr>
              <w:spacing w:after="0"/>
              <w:rPr>
                <w:sz w:val="20"/>
                <w:szCs w:val="20"/>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Group</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Rui Da Shipping Co. Limited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Limited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to Mr. Dong Zhang</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Xun Da Shipping Co. Limited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Topsheen Shipping Group Limited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Nanjing Top Confidence Marine Management Co., Ltd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Controlled by Mr. Shoucheng Lei</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Da Shipping Co. Limited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Keen Best Shipping Co Limited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Dong Zhang</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Family member of Mr. Jun Li</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Mr. Qing Xu</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Family member of Ms. Luan Chen</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 Corporation Shipping Limited</w:t>
            </w: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Controlled by Ocean Master Worldwide Corporation</w:t>
            </w:r>
          </w:p>
        </w:tc>
      </w:tr>
      <w:tr>
        <w:trPr>
          <w:trHeight w:val="655"/>
        </w:trPr>
        <w:tc>
          <w:tcPr>
            <w:tcW w:w="5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F-22</w:t>
            </w:r>
          </w:p>
        </w:tc>
      </w:tr>
    </w:tbl>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 (cont.)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Accounts receivable-related parties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Topsheen Shipping Singapore Pte. Ltd. </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616,279</w:t>
            </w: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Tong Da Shipping Co. Limited</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143,277</w:t>
            </w: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Mei Da Shipping Co. Limited</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159,638</w:t>
            </w:r>
          </w:p>
        </w:tc>
        <w:tc>
          <w:tcPr>
            <w:tcW w:w="0" w:type="dxa"/>
            <w:vAlign w:val="bottom"/>
          </w:tcPr>
          <w:p>
            <w:pPr>
              <w:spacing w:after="0"/>
              <w:rPr>
                <w:sz w:val="1"/>
                <w:szCs w:val="1"/>
                <w:color w:val="auto"/>
              </w:rPr>
            </w:pPr>
          </w:p>
        </w:tc>
      </w:tr>
      <w:tr>
        <w:trPr>
          <w:trHeight w:val="270"/>
        </w:trPr>
        <w:tc>
          <w:tcPr>
            <w:tcW w:w="86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Keen Best Shipping Co Limited</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99,121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1,018,315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balance mainly represented consideration for time charter accounts receivable from Topsheen Shipping Singapore Pte. Ltd, which was collected in current period.</w:t>
      </w:r>
    </w:p>
    <w:p>
      <w:pPr>
        <w:spacing w:after="0" w:line="199"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balance represents the accrued management fees from related parties for vessel management services, which was partially collected in current period.</w:t>
      </w:r>
    </w:p>
    <w:p>
      <w:pPr>
        <w:spacing w:after="0" w:line="195" w:lineRule="exact"/>
        <w:rPr>
          <w:rFonts w:ascii="Times New Roman" w:cs="Times New Roman" w:eastAsia="Times New Roman" w:hAnsi="Times New Roman"/>
          <w:sz w:val="30"/>
          <w:szCs w:val="30"/>
          <w:color w:val="auto"/>
          <w:vertAlign w:val="superscript"/>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liabilities-related party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Topsheen Shipping Singapore Pte. Ltd.</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433,125</w:t>
            </w:r>
          </w:p>
        </w:tc>
      </w:tr>
      <w:tr>
        <w:trPr>
          <w:trHeight w:val="811"/>
        </w:trPr>
        <w:tc>
          <w:tcPr>
            <w:tcW w:w="8680" w:type="dxa"/>
            <w:vAlign w:val="bottom"/>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balance represents the advance charter hire payments from Topsheen Shipping Singapore Pte. Ltd.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Due from related parties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Topsheen Shipping Singapore Pte. Ltd</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412,873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331,948</w:t>
            </w:r>
          </w:p>
        </w:tc>
      </w:tr>
    </w:tbl>
    <w:p>
      <w:pPr>
        <w:spacing w:after="0" w:line="8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balance represents the outstanding bunker receivable from Topsheen Shipping Singapore Pte. Ltd for time charter service provided by the Group.</w:t>
      </w:r>
    </w:p>
    <w:p>
      <w:pPr>
        <w:sectPr>
          <w:pgSz w:w="11900" w:h="16838" w:orient="portrait"/>
          <w:cols w:equalWidth="0" w:num="1">
            <w:col w:w="11240"/>
          </w:cols>
          <w:pgMar w:left="320" w:top="333" w:right="33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Due to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June 30, 2025, the balances due to related parties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Topsheen Shipping Group Limited</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18"/>
          <w:szCs w:val="18"/>
          <w:color w:val="auto"/>
        </w:rPr>
        <w:t>Nanjing Top Confidence Marine Management Co., Ltd</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5" w:lineRule="auto"/>
        <w:rPr>
          <w:sz w:val="20"/>
          <w:szCs w:val="20"/>
          <w:color w:val="auto"/>
        </w:rPr>
      </w:pPr>
      <w:r>
        <w:rPr>
          <w:rFonts w:ascii="Times New Roman" w:cs="Times New Roman" w:eastAsia="Times New Roman" w:hAnsi="Times New Roman"/>
          <w:sz w:val="18"/>
          <w:szCs w:val="18"/>
          <w:color w:val="auto"/>
        </w:rPr>
        <w:t>Due to shareholder and affiliate</w:t>
      </w:r>
      <w:r>
        <w:rPr>
          <w:rFonts w:ascii="Times New Roman" w:cs="Times New Roman" w:eastAsia="Times New Roman" w:hAnsi="Times New Roman"/>
          <w:sz w:val="29"/>
          <w:szCs w:val="29"/>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Ocean Master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balances mainly represented the expenses paid on behalf of the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left="-4"/>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45" w:lineRule="exact"/>
        <w:rPr>
          <w:sz w:val="20"/>
          <w:szCs w:val="20"/>
          <w:color w:val="auto"/>
        </w:rPr>
      </w:pPr>
    </w:p>
    <w:p>
      <w:pPr>
        <w:ind w:left="725" w:hanging="725"/>
        <w:spacing w:after="0"/>
        <w:tabs>
          <w:tab w:leader="none" w:pos="72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5,417</w:t>
      </w:r>
    </w:p>
    <w:p>
      <w:pPr>
        <w:spacing w:after="0" w:line="61" w:lineRule="exact"/>
        <w:rPr>
          <w:rFonts w:ascii="Times New Roman" w:cs="Times New Roman" w:eastAsia="Times New Roman" w:hAnsi="Times New Roman"/>
          <w:sz w:val="17"/>
          <w:szCs w:val="17"/>
          <w:color w:val="auto"/>
        </w:rPr>
      </w:pPr>
    </w:p>
    <w:p>
      <w:pPr>
        <w:ind w:left="72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8,710</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21,476,946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11,546</w:t>
      </w:r>
    </w:p>
    <w:p>
      <w:pPr>
        <w:spacing w:after="0" w:line="18" w:lineRule="exact"/>
        <w:rPr>
          <w:sz w:val="20"/>
          <w:szCs w:val="20"/>
          <w:color w:val="auto"/>
        </w:rPr>
      </w:pPr>
    </w:p>
    <w:p>
      <w:pPr>
        <w:ind w:left="325" w:hanging="325"/>
        <w:spacing w:after="0"/>
        <w:tabs>
          <w:tab w:leader="none" w:pos="325" w:val="left"/>
        </w:tabs>
        <w:numPr>
          <w:ilvl w:val="0"/>
          <w:numId w:val="1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21,502,619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00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45" w:lineRule="exact"/>
        <w:rPr>
          <w:sz w:val="20"/>
          <w:szCs w:val="20"/>
          <w:color w:val="auto"/>
        </w:rPr>
      </w:pPr>
    </w:p>
    <w:p>
      <w:pPr>
        <w:ind w:left="620" w:hanging="615"/>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36,584</w:t>
      </w:r>
    </w:p>
    <w:p>
      <w:pPr>
        <w:spacing w:after="0" w:line="4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14,381</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24,490,720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11,546</w:t>
      </w:r>
    </w:p>
    <w:p>
      <w:pPr>
        <w:spacing w:after="0" w:line="18"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24,553,231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029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3">
            <w:col w:w="7955" w:space="720"/>
            <w:col w:w="1125" w:space="220"/>
            <w:col w:w="1220"/>
          </w:cols>
          <w:pgMar w:left="320" w:top="333" w:right="339" w:bottom="1440" w:gutter="0" w:footer="0" w:header="0"/>
          <w:type w:val="continuous"/>
        </w:sectPr>
      </w:pPr>
    </w:p>
    <w:p>
      <w:pPr>
        <w:spacing w:after="0" w:line="25"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mainly represented non-interest-bearing loans from Mr. Shoucheng Lei and due on demand. During the six months end December 31, 2025, the Group repaid $3,000,000 of these loans to Mr. Shoucheng Lei.</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 (cont.)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Services provided to related parties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Singapore Pte. Ltd. (Time charter &amp; Vessel management services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9,250,107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Mei Da Shipping Co. Limited (Vessel management services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699,582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Tong Da Shipping Co. Limited (Vessel management services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707,132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721,736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Topsheen Bulk Singapore Pte Ltd (Time charter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Keen Best Shipping Co Limited (Vessel management services revenue)</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485,796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497,079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11,142,617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11,957,102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the Group provided time charter service and vessel management services to the related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numbers have been included in the revenue of the unaudited condensed consolidated statements of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lease from a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December 31, 2025 and 2024, the Group has financing leases from a related party. (see Note 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Short-term office lease expense from a related party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Jun Li’s affiliate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numbers have been included in the General and administrative expenses of the unaudited condensed consolidated statements of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General and administrative expenses shared with a related party</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Topsheen Shipping Group Co., Ltd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Guarantee by a related party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June 30, 2025, long-term loan totaling $2,101,891 and $2,908,945, respectively, was guaranteed by Topsheen Shipping Singapore Pte. Ltd., shareholders and affiliates. (see Note 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Cayman Islands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British Virgin Islands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laws of the British Virgin Islands, the Group’s subsidiary incorporated in BVI is not subject to income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Hong Kong income tax rates to the Group’s effective tax rate for the six months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4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3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4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4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44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4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0"/>
        </w:trPr>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SHAREHOLDERS’ EQUITY</w:t>
            </w: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incorporated on July 4, 2023 as a holding company. The Company’s authorized share capital was $50,000 divided into 500,000,000 ordinary shares of a par value of $0.0001 each upon incorporation (equivalent to 20,000,000 ordinary shares of a par value of $0.0025 each on a post-consolidation basis). The number of ordinary shares issued and outstanding was 92.1 as of July 4, 2023(equivalent to 3.7 shares on a post-consolidation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26, 2026, the Company held its extraordinary shareholder general meeting (the “Meeting”). At the Meeting, the shareholders of the Company adopted the following resolutions: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w:t>
      </w:r>
    </w:p>
    <w:p>
      <w:pPr>
        <w:spacing w:after="0" w:line="3" w:lineRule="exact"/>
        <w:rPr>
          <w:rFonts w:ascii="Times New Roman" w:cs="Times New Roman" w:eastAsia="Times New Roman" w:hAnsi="Times New Roman"/>
          <w:sz w:val="18"/>
          <w:szCs w:val="18"/>
          <w:color w:val="auto"/>
        </w:rPr>
      </w:pPr>
    </w:p>
    <w:p>
      <w:pPr>
        <w:ind w:left="660" w:hanging="4"/>
        <w:spacing w:after="0" w:line="260" w:lineRule="auto"/>
        <w:tabs>
          <w:tab w:leader="none" w:pos="9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Each outstanding Class B Ordinary Share is convertible at any time after issuance at the option of the holder into one (1) Class A Ordinary Share. The Class A Shares will not be convertible into shares of any other class.</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April 15, 2024, the Company effectuated a series of share recapitalizations (the “Recapitalization”). As a result of the Recapitalization, the Company had nominal issuance of 1,000,000 ordinary shares to the existing ordinary shareholders. The Company believes that the Recapitalization should be accounted for on a retroactive basis pursuant to ASC 260. All ordinary shares and per share data for all periods have been retroactively restated accordingly.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SHAREHOLDERS’ EQUITY (cont.)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20, 2025, the Company entered into an Ordinary Share Purchase Agreement with White Lion Capital LLC, a Nevada limited liability company (the “White Lion Capital”). Pursuant to the Purchase Agreement, White Lion Capital is committed to purchase our Class A ordinary shares, par value US$0.0025 per share, with an aggregate gross purchase price of up to $10,000,000 from time to time during the period commencing on August 20, 2025 and ending on the earlier of (i) the date on which White Lion Capital shall have purchased an aggregate number of our Class A ordinary shares equal to the Commitment Amount or (ii) the later of the 18 month anniversary of the Execution Date or the first closing. The Commitment Amount may be increased up to $30,000,000 upon the mutual written consent of White Lion Capital and us.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for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issued 3,419 Commitment Shares and 102,200 Pre-Delivery Shares to Streeterville Capital, LLC on September 9, 2025 and 16,763 Class A shares on December 2, 2025 in conversion of $275,000 convertible note balance. (see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2025, the Company issued 3,350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$210.00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average volatility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warrants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of warrants outstanding as of June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March 2025 Warrants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 of warrants outstanding and exercisable as of Dec 31, 2025</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 years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842"/>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4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5"/>
        </w:trPr>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per hare</w:t>
            </w:r>
          </w:p>
        </w:tc>
        <w:tc>
          <w:tcPr>
            <w:tcW w:w="20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40" w:type="dxa"/>
            <w:vAlign w:val="bottom"/>
          </w:tcPr>
          <w:p>
            <w:pPr>
              <w:spacing w:after="0"/>
              <w:rPr>
                <w:sz w:val="21"/>
                <w:szCs w:val="21"/>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dates</w:t>
            </w:r>
          </w:p>
        </w:tc>
        <w:tc>
          <w:tcPr>
            <w:tcW w:w="0" w:type="dxa"/>
            <w:vAlign w:val="bottom"/>
          </w:tcPr>
          <w:p>
            <w:pPr>
              <w:spacing w:after="0"/>
              <w:rPr>
                <w:sz w:val="1"/>
                <w:szCs w:val="1"/>
                <w:color w:val="auto"/>
              </w:rPr>
            </w:pP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48"/>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2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years</w:t>
            </w: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4.25 years</w:t>
            </w: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w:t>
            </w:r>
          </w:p>
        </w:tc>
        <w:tc>
          <w:tcPr>
            <w:tcW w:w="20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-2305050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-2022475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-642620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33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INTERCONT (CAYMAN)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 except for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consolidated financial position or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no significant financial nor capital commitments and contingencies existed.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evaluated all events and transactions that occurred after December 31, 2025 up through the date when the unaudited condensed consolidated financial statements were issued. Other than the events disclosed elsewhere in the unaudited condensed consolidated financial statements and those disclosed above, there are no other subsequent event occurred that would require adjustment or disclosure in the Group’s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04"/>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lowerRoman"/>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2026-04-06T15:47:07Z</dcterms:created>
  <dcterms:modified xsi:type="dcterms:W3CDTF">2026-04-06T15:47:07Z</dcterms:modified>
</cp:coreProperties>
</file>