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454-6k_intercont.htm"/>
      <w:bookmarkStart w:id="1" w:name="ksea02974546k_intercont"/>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Ocean Drive Singapore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Closing of Best Efforts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Intercont (Cayman) Limited (the “Company”) priced a best effort public offering for the sale of units as described below for aggregate gross proceeds to the Company of approximately $6.32 million, before deducting placement agent fees and other estimated expenses payable by the Company, excluding the exercise of any warrant offered. The offering is comprised of 8,000,000 units (each a “Unit”), consisting of one Class A ordinary share of the Company, par value $0.0025 per share (the “Class A Ordinary Shares”) and one warrant to purchase one Class A Ordinary Share (each a “Warrant”). The public offering price of the Units is $0.79 per Unit. Each of the Warrants will have an exercise price of $0.869 per Class A Ordinary Share and will be exercisable beginning on the date of the issuance and expire six months from the date of issuance.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securities in the offering are being offered pursuant to a securities purchase agreement with certain investors (the “Securities Purchase Agreement”) and the Company’s registration statement on </w:t>
      </w:r>
      <w:hyperlink r:id="rId2">
        <w:r>
          <w:rPr>
            <w:rStyle w:val="InternetLink"/>
            <w:rFonts w:ascii="Times New Roman;Times;Serif" w:hAnsi="Times New Roman;Times;Serif"/>
            <w:b w:val="false"/>
            <w:i w:val="false"/>
            <w:caps w:val="false"/>
            <w:smallCaps w:val="false"/>
            <w:sz w:val="20"/>
          </w:rPr>
          <w:t>Form F-1</w:t>
        </w:r>
      </w:hyperlink>
      <w:r>
        <w:rPr>
          <w:rFonts w:ascii="Times New Roman;Times;Serif" w:hAnsi="Times New Roman;Times;Serif"/>
          <w:b w:val="false"/>
          <w:i w:val="false"/>
          <w:caps w:val="false"/>
          <w:smallCaps w:val="false"/>
          <w:sz w:val="20"/>
        </w:rPr>
        <w:t xml:space="preserve"> (File No. 333-296585), as amended, which was initially filed with the Securities and Exchange Commission (the “SEC”) on June 18, 2026 and declared effective by the SEC on July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entered into a placement agency agreement (the “Placement Agency Agreement”) with Prime Number Capital, LLC (the “Placement Agent”), pursuant to which the Placement Agent acted as sole placement agent for the offering and would receive at the closing of the offering a cash fee equal to five percent (5.0%) of the gross proceeds in the offering, a non-accountable expenses allowance of one percent (1.0%) of the gross proceeds of the offering and reimbursement for legal fees and other out-of-pocket fees, costs and expenses in the amount of up to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and the Placement Agency Agreement, each of Company’s officers, directors and certain existing shareholders of the Company’s share capital shall deliver to the Placement Agent an executed lock-up agreement. Under these agreements, these parties have agreed, subject to specified exceptions, not to offer, pledge, sell, contract to sell, grant, lend or otherwise transfer or dispose of any Class A Ordinary Shares or any securities convertible into or exercisable or exchangeable for Class A Ordinary Shares, or enter into any swap or other arrangement that transfers to another, in whole or in part, the economic consequences of ownership of such securities, during the period commencing on the closing date of the offering and ending 180 days thereafter, without the prior consent of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closed on July 8, 2026. The Company intends to use the net proceeds from the offering for general working capital purposes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of the terms of each agreement mentioned above are subject to, and qualified in their entirety by, such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does not constitute an offer to sell, or the solicitation of an offer to buy, nor shall there be any sale of these securities in any state or jurisdiction in which such offer, solicitation, or sale would be unlawful prior to the registration or 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28" w:type="dxa"/>
          <w:right w:w="0" w:type="dxa"/>
        </w:tblCellMar>
      </w:tblPr>
      <w:tblGrid>
        <w:gridCol w:w="1400"/>
        <w:gridCol w:w="60"/>
        <w:gridCol w:w="4070"/>
      </w:tblGrid>
      <w:tr>
        <w:trPr/>
        <w:tc>
          <w:tcPr>
            <w:tcW w:w="140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07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070" w:type="dxa"/>
            <w:tcBorders/>
            <w:shd w:fill="CCEEFF" w:val="clear"/>
            <w:tcMar>
              <w:bottom w:w="0" w:type="dxa"/>
            </w:tcMar>
            <w:vAlign w:val="center"/>
          </w:tcPr>
          <w:p>
            <w:pPr>
              <w:pStyle w:val="TableContents"/>
              <w:bidi w:val="0"/>
              <w:spacing w:before="0" w:after="0"/>
              <w:ind w:left="0" w:right="0" w:hanging="0"/>
              <w:jc w:val="both"/>
              <w:rPr/>
            </w:pPr>
            <w:hyperlink w:anchor="ea029745401ex4-1.htm">
              <w:r>
                <w:rPr>
                  <w:rStyle w:val="InternetLink"/>
                  <w:rFonts w:ascii="Times New Roman;Times;Serif" w:hAnsi="Times New Roman;Times;Serif"/>
                  <w:b w:val="false"/>
                  <w:i w:val="false"/>
                  <w:caps w:val="false"/>
                  <w:smallCaps w:val="false"/>
                  <w:sz w:val="20"/>
                </w:rPr>
                <w:t>Form of Warrant</w:t>
              </w:r>
            </w:hyperlink>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070" w:type="dxa"/>
            <w:tcBorders/>
            <w:shd w:fill="FFFFFF" w:val="clear"/>
            <w:tcMar>
              <w:bottom w:w="0" w:type="dxa"/>
            </w:tcMar>
            <w:vAlign w:val="center"/>
          </w:tcPr>
          <w:p>
            <w:pPr>
              <w:pStyle w:val="TableContents"/>
              <w:bidi w:val="0"/>
              <w:spacing w:before="0" w:after="283"/>
              <w:jc w:val="left"/>
              <w:rPr/>
            </w:pPr>
            <w:hyperlink w:anchor="ea029745401ex10-1.htm">
              <w:r>
                <w:rPr>
                  <w:rStyle w:val="InternetLink"/>
                  <w:rFonts w:ascii="Times New Roman;Times;Serif" w:hAnsi="Times New Roman;Times;Serif"/>
                  <w:b w:val="false"/>
                  <w:i w:val="false"/>
                  <w:caps w:val="false"/>
                  <w:smallCaps w:val="false"/>
                  <w:sz w:val="20"/>
                </w:rPr>
                <w:t>Form of Security Purchase Agreement</w:t>
              </w:r>
            </w:hyperlink>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070" w:type="dxa"/>
            <w:tcBorders/>
            <w:shd w:fill="CCEEFF" w:val="clear"/>
            <w:tcMar>
              <w:bottom w:w="0" w:type="dxa"/>
            </w:tcMar>
            <w:vAlign w:val="center"/>
          </w:tcPr>
          <w:p>
            <w:pPr>
              <w:pStyle w:val="TableContents"/>
              <w:bidi w:val="0"/>
              <w:spacing w:before="0" w:after="283"/>
              <w:jc w:val="left"/>
              <w:rPr/>
            </w:pPr>
            <w:hyperlink w:anchor="ea029745401ex10-2.htm">
              <w:r>
                <w:rPr>
                  <w:rStyle w:val="InternetLink"/>
                  <w:rFonts w:ascii="Times New Roman;Times;Serif" w:hAnsi="Times New Roman;Times;Serif"/>
                  <w:b w:val="false"/>
                  <w:i w:val="false"/>
                  <w:caps w:val="false"/>
                  <w:smallCaps w:val="false"/>
                  <w:sz w:val="20"/>
                </w:rPr>
                <w:t>Placement Agency Agreement, dated July 6, 2026</w:t>
              </w:r>
            </w:hyperlink>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070" w:type="dxa"/>
            <w:tcBorders/>
            <w:shd w:fill="FFFFFF" w:val="clear"/>
            <w:tcMar>
              <w:bottom w:w="0" w:type="dxa"/>
            </w:tcMar>
            <w:vAlign w:val="center"/>
          </w:tcPr>
          <w:p>
            <w:pPr>
              <w:pStyle w:val="TableContents"/>
              <w:bidi w:val="0"/>
              <w:spacing w:before="0" w:after="283"/>
              <w:jc w:val="left"/>
              <w:rPr/>
            </w:pPr>
            <w:hyperlink w:anchor="ea029745401ex99-1.htm">
              <w:r>
                <w:rPr>
                  <w:rStyle w:val="InternetLink"/>
                  <w:rFonts w:ascii="Times New Roman;Times;Serif" w:hAnsi="Times New Roman;Times;Serif"/>
                  <w:b w:val="false"/>
                  <w:i w:val="false"/>
                  <w:caps w:val="false"/>
                  <w:smallCaps w:val="false"/>
                  <w:sz w:val="20"/>
                </w:rPr>
                <w:t>Press Release</w:t>
              </w:r>
            </w:hyperlink>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39" w:type="dxa"/>
        <w:jc w:val="left"/>
        <w:tblInd w:w="0" w:type="dxa"/>
        <w:tblLayout w:type="fixed"/>
        <w:tblCellMar>
          <w:top w:w="0" w:type="dxa"/>
          <w:left w:w="0" w:type="dxa"/>
          <w:bottom w:w="0" w:type="dxa"/>
          <w:right w:w="0" w:type="dxa"/>
        </w:tblCellMar>
      </w:tblPr>
      <w:tblGrid>
        <w:gridCol w:w="1520"/>
        <w:gridCol w:w="380"/>
        <w:gridCol w:w="2039"/>
      </w:tblGrid>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9, 2026</w:t>
            </w:r>
          </w:p>
        </w:tc>
        <w:tc>
          <w:tcPr>
            <w:tcW w:w="24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0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03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Muchun Zhu</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Muchun Zhu</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0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745401ex4-1.htm"/>
      <w:bookmarkStart w:id="3" w:name="ksea029745401ex41"/>
      <w:bookmarkEnd w:id="2"/>
      <w:bookmarkEnd w:id="3"/>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caps/>
          <w:sz w:val="20"/>
        </w:rPr>
        <w:t xml:space="preserve">THE NUMBER OF CLASS A ORDINARY SHARES ISSUABLE UPON EXERCISE OF </w:t>
      </w:r>
      <w:r>
        <w:rPr>
          <w:rFonts w:ascii="Times New Roman;Times;Serif" w:hAnsi="Times New Roman;Times;Serif"/>
          <w:b/>
          <w:i w:val="false"/>
          <w:smallCaps/>
          <w:sz w:val="20"/>
        </w:rPr>
        <w:br/>
        <w:t>THIS WARRANT MAY BE LESS THAN THE AMOUNT SET FORTH ON THE FACE</w:t>
        <w:br/>
      </w:r>
      <w:r>
        <w:rPr>
          <w:rFonts w:ascii="Times New Roman;Times;Serif" w:hAnsi="Times New Roman;Times;Serif"/>
          <w:b/>
          <w:i w:val="false"/>
          <w:caps/>
          <w:sz w:val="20"/>
        </w:rPr>
        <w:t>HEREOF PURSUANT TO SECTION</w:t>
      </w:r>
      <w:r>
        <w:rPr>
          <w:rFonts w:ascii="Times New Roman;Times;Serif" w:hAnsi="Times New Roman;Times;Serif"/>
          <w:b/>
          <w:i w:val="false"/>
          <w:smallCaps/>
          <w:sz w:val="20"/>
        </w:rPr>
        <w:t xml:space="preserve"> </w:t>
      </w:r>
      <w:r>
        <w:rPr>
          <w:rFonts w:ascii="Times New Roman;Times;Serif" w:hAnsi="Times New Roman;Times;Serif"/>
          <w:b/>
          <w:i w:val="false"/>
          <w:caps w:val="false"/>
          <w:smallCaps w:val="false"/>
          <w:sz w:val="20"/>
        </w:rPr>
        <w:t xml:space="preserve">1(g) </w:t>
      </w:r>
      <w:r>
        <w:rPr>
          <w:rFonts w:ascii="Times New Roman;Times;Serif" w:hAnsi="Times New Roman;Times;Serif"/>
          <w:b/>
          <w:i w:val="false"/>
          <w:caps/>
          <w:sz w:val="20"/>
        </w:rPr>
        <w:t>OF THIS WARRANT.</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Intercont (Cayman) Limited</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Warrant To Purchase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Issuance: [               ], 2026 ("Issuance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(Cayman) Limited, a Cayman Islands exempted company (the “Company”), hereby certifies that, for good and valuable consideration, the receipt and sufficiency of which are hereby acknowledged, _______, the registered holder hereof or its permitted assigns (the “Holder”), is entitled, subject to the terms set forth below, to purchase from the Company, at the Exercise Price (as defined below) then in effect, upon exercise of this Warrant to Purchase Class A Ordinary Shares (including any Warrants to Purchase Class A Ordinary Shares issued in exchange, transfer or replacement hereof, the “Warrant”), at any time or times on or after the Issuance Date, but not after 11:59 p.m., New York time, on the Expiration Date (as defined below), _________________ (subject to adjustment as provided herein) fully paid and non-assessable Class A Ordinary Shares (as defined below) (the “Warrant Shares”, and such number of Warrant Shares, the “Warrant Number”). Except as otherwise defined herein, capitalized terms in this Warrant shall have the meanings set forth in Section 19. This Warrant is one of the Warrants to Purchase Class A Ordinary Shares (the “Registered Warrants”) issued pursuant to (i) that certain Securities Purchase Agreement, dated as of [●], 2026 (the “Subscription Date”), by and among the Company and the investors referred to therein, as amended from time to time (the “Securities Purchase Agreement”) and (ii) the Company’s Registration Statement on Form F-1 (File number 333-[●]) (the “Registration Statement”).</w:t>
      </w:r>
    </w:p>
    <w:p>
      <w:pPr>
        <w:pStyle w:val="TextBody"/>
        <w:bidi w:val="0"/>
        <w:spacing w:before="0" w:after="0"/>
        <w:ind w:left="0" w:right="0" w:hanging="0"/>
        <w:jc w:val="both"/>
        <w:rPr>
          <w:caps/>
          <w:strike w:val="false"/>
          <w:dstrike w:val="false"/>
          <w:u w:val="none"/>
          <w:effect w:val="none"/>
        </w:rPr>
      </w:pPr>
      <w:r>
        <w:rPr>
          <w:caps/>
          <w:strike w:val="false"/>
          <w:dstrike w:val="false"/>
          <w:u w:val="none"/>
          <w:effect w:val="none"/>
        </w:rPr>
        <w:t> </w:t>
      </w:r>
    </w:p>
    <w:tbl>
      <w:tblPr>
        <w:tblW w:w="3183" w:type="dxa"/>
        <w:jc w:val="left"/>
        <w:tblInd w:w="0" w:type="dxa"/>
        <w:tblLayout w:type="fixed"/>
        <w:tblCellMar>
          <w:top w:w="0" w:type="dxa"/>
          <w:left w:w="0" w:type="dxa"/>
          <w:bottom w:w="0" w:type="dxa"/>
          <w:right w:w="0" w:type="dxa"/>
        </w:tblCellMar>
      </w:tblPr>
      <w:tblGrid>
        <w:gridCol w:w="38"/>
        <w:gridCol w:w="20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945" w:type="dxa"/>
            <w:tcBorders/>
            <w:vAlign w:val="center"/>
          </w:tcPr>
          <w:p>
            <w:pPr>
              <w:pStyle w:val="TableContents"/>
              <w:bidi w:val="0"/>
              <w:spacing w:before="0" w:after="283"/>
              <w:jc w:val="both"/>
              <w:rPr>
                <w:u w:val="single"/>
              </w:rPr>
            </w:pPr>
            <w:r>
              <w:rPr>
                <w:u w:val="single"/>
              </w:rPr>
              <w:t>EXERCISE OF WARRANT.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Exercise; Mechanics of Exercise. Subject to the terms and conditions hereof (including, without limitation, the limitations set forth in Section 1(g)), this Warrant may be exercised by the Holder on any day on or after the Issuance Date (an “Exercise Date”), in whole or in part, by delivery (whether via e-mail or otherwise) of a written notice, in the form attached hereto as Exhibit A (the “Exercise Notice”),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“Aggregate Exercise Price”)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 delivery of the Warrant Shares in accordance with the terms hereof. On or before the first (1st) Trading Day following the date on which the Company has received an Exercise Notice, the Company shall transmit by facsimile or electronic mail an acknowledgment of confirmation of receipt of such Exercise Notice, in the form attached hereto as Exhibit B, to the Holder and the Company’s transfer agent (the “Transfer Agent”), which confirmation shall constitute an instruction to the Transfer Agent to process such Exercise Notice in accordance with the terms herein. On or before the second (2nd) Trading Day following the date on which the Company has received such Exercise Notice (or such earlier date as required pursuant to the 1934 Act or other applicable law, rule or regulation for the settlement of a trade of such Warrant Shares initiated on the applicable Exercise Date), the Company shall (i) provided that the Transfer Agent is participating in The Depository Trust Company (“DTC”) Fast Automated Securities Transfer Program, upon the request of the Holder, credit such aggregate number of Class A Ordinary Shares to which the Holder is entitled pursuant to such exercise to the Holder’s or its designee’s balance account with DTC through its Deposit/Withdrawal at Custodian system, or (ii) if the Transfer Agent is not participating in the DTC Fast Automated Securities Transfer Program, upon the request of the Holder, issue and deliver (via reputable overnight courier) to the address as specified in the Exercise Notice, a certificate, registered in the name of the Holder or its designee, for the number of Class A Ordinary Shares to which the Holder shall be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and upon surrender of this Warrant to the Company by the Holder, then, at the request of the Holder, the Company shall as soon as practicable and in no event later than two (2)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Class A Ordinary Shares are to be issued upon the exercise of this Warrant, but rather the number of Class A Ordinary Shares to be issued shall be rounded up to the nearest whole number. The Company shall pay any and all transfer, stamp, issuance and similar taxes, costs and expenses (including, without limitation, fees and expenses of the Transfer Agent) that may be payable with respect to the issuance and delivery of Warrant Shares upon exercise of this Warrant. Notwithstanding the foregoing, except in the case where an exercise of this Warrant is validly made pursuant to a Cashless Exercise or a zero exercise price option (as defined below), the Company’s failure to deliver Warrant Shares to the Holder on or prior to the later of (A) two (2) Trading Days after receipt of the applicable Exercise Notice (or such earlier date as required pursuant to the 1934 Act or other applicable law, rule or regulation for the settlement of a trade of such Warrant Shares initiated on the applicable Exercise Date) and (B) one (1) Trading Day after the Company’s receipt of the Aggregate Exercise Price (or valid notice of a Cashless Exercise) (such later date, the “Share Delivery Date”) shall not be deemed to be a breach of this Warrant. From the Issuance Date through and including the Expiration Date, the Company shall maintain a transfer agent that participates in the DTC’s Fast Automated Securities Transfer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Exercise Price. For purposes of this Warrant, “Exercise Price” means $[●] per Class A Ordinary Share, subject to adjustment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Company’s Failure to Timely Deliver Securities. If the Company shall fail, for any reason or for no reason, on or prior to the Share Delivery Date, either (I) if the Transfer Agent is not participating in the DTC Fast Automated Securities Transfer Program, to issue and deliver to the Holder (or its designee) a certificate for the number of Warrant Shares to which the Holder is entitled and register such Warrant Shares on the Company’s share register or, if the Transfer Agent is participating in the DTC Fast Automated Securities Transfer Program, to credit the balance account of the Holder or the Holder’s designee with DTC for such number of Warrant Shares to which the Holder is entitled upon the Holder’s exercise of this Warrant (as the case may be) or (II) if the Registration Statement (or prospectus contained therein) covering the issuance of the Warrant Shares that are the subject of the Exercise Notice (the “Unavailable Warrant Shares”) is not available for the issuance of such Unavailable Warrant Shares and the Company fails to promptly (x) so notify the Holder and (y) deliver the Warrant Shares electronically without any restrictive legend by crediting such aggregate number of Warrant Shares to which the Holder is entitled pursuant to such exercise to the Holder’s or its designee’s balance account with DTC through its Deposit/Withdrawal At Custodian system (the event described in the immediately foregoing clause (II) is hereinafter referred as a “Notice Failure” and together with the event described in clause (I) above, a “Delivery Failure”), then, in addition to all other remedies available to the Holder, (X) the Company shall pay in cash to the Holder on each day after the Share Delivery Date and during such Delivery Failure an amount equal to 1% of the product of (A) the sum of the number of Class A Ordinary Shares not issued to the Holder on or prior to the Share Delivery Date and to which the Holder is entitled, multiplied by (B) any trading price of the Class A Ordinary Shares selected by the Holder in writing as in effect at any time during the period beginning on the applicable Exercise Date and ending on the applicable Share Delivery Date,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on or prior to the Share Delivery Date either (I) the Transfer Agent is not participating in the DTC Fast Automated Securities Transfer Program, the Company shall fail to issue and deliver to the Holder (or its designee) a certificate and register such Class A Ordinary Shares on the Company’s share register or, if the Transfer Agent is participating in the DTC Fast Automated Securities Transfer Program, the Transfer Agent shall fail to credit the balance account of the Holder or the Holder’s designee with DTC for the number of Class A Ordinary Shares to which the Holder is entitled upon the Holder’s exercise hereunder or pursuant to the Company’s obligation pursuant to clause (ii) below or (II) a Notice Failure occurs, and if on or after such Share Delivery Date the Holder purchases (in an open market transaction or otherwise) Class A Ordinary Shares corresponding to all or any portion of the number of Class A Ordinary Shares issuable upon such exercise that the Holder is entitled to receive from the Company and has not received from the Company in connection with such Delivery Failure or Notice Failure, as applicable (a “Buy-In”),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and other out-of-pocket expenses, if any) for the Class A Ordinary Shares so purchased (including, without limitation, by any other Person in respect, or on behalf, of the Holder) (the “Buy-In Price”), at which point the Company’s obligation to so issue and deliver such certificate (and to issue such Class A Ordinary Shares)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certificates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lowest Closing Sale Price of the Class A Ordinary Shares on any Trading Day during the period commencing on the date of the applicable Exercise Notice and ending on the date of such issuance and payment under this clause (ii) (the “Buy-In Payment Amount”).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Class A Ordinary Shares (or to electronically deliver such Class A Ordinary Shares) upon the exercise of this Warrant as required pursuant to the terms hereof. While this Warrant is outstanding, the Company shall cause its transfer agent to participate in the DTC Fast Automated Securities Transfer Program. In addition to the foregoing rights, (i) if the Company fails to deliver the applicable number of Warrant Shares upon an exercise pursuant to Section 1 by the applicable Share Delivery Date, then the Holder shall have the right to rescind such exercise in whole or in part and retain and/or have the Company return, as the case may be, any portion of this Warrant that has not been exercised pursuant to such Exercise Notice; provided that the rescission of an exercise shall not affect the Company’s obligation to make any payments that have accrued prior to the date of such notice pursuant to this Section 1(c) or otherwise, and (ii) if a registration statement (which may be the Registration Statement) covering the issuance or resale of the Warrant Shares that are subject to an Exercise Notice is not available for the issuance or resale, as applicable, of such Exercise Notice Warrant Shares and the Holder has submitted an Exercise Notice prior to receiving notice of the non-availability of such registration statement and the Company has not already delivered the Warrant Shares underlying such Exercise Notice electronically without any restrictive legend by crediting such aggregate number of Warrant Shares to which the Holder is entitled pursuant to such exercise to the Holder’s or its designee’s balance account with DTC through its Deposit / Withdrawal At Custodian system, the Holder shall have the option, by delivery of notice to the Company, to (x) rescind such Exercise Notice in whole or in part and retain or have returned, as the case may be, any portion of this Warrant that has not been exercised pursuant to such Exercise Notice; provided that the rescission of an Exercise Notice shall not affect the Company’s obligation to make any payments that have accrued prior to the date of such notice pursuant to this Section 1(c) or otherwise, and/or (y) switch some or all of such Exercise Notice from a cash exercise to a Cashless Exercise. For the avoidance of doubt, this Section 1(c) shall only apply to Cash Exercise as set forth in Section 1(a) hereof, and shall not apply to Cashless Exercise or the zero exercise price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Cashless Exercise. If and only if, at the time of exercise of this Warrant, there is no effective registration statement registering, or the prospectus contained therein is not available for, the issuance of the Class A Ordinary Shares underlying this Warrant to the Holder, then the Holder may elect to exercise this Warrant in whole or in part on a cashless basis and receive the number of Class A Ordinary Shares determined in accordance with the cashless exercise formula set forth below.</w:t>
      </w:r>
    </w:p>
    <w:p>
      <w:pPr>
        <w:pStyle w:val="TextBody"/>
        <w:bidi w:val="0"/>
        <w:spacing w:before="0" w:after="0"/>
        <w:ind w:left="0" w:right="0" w:firstLine="1440"/>
        <w:jc w:val="left"/>
        <w:rPr>
          <w:caps w:val="false"/>
          <w:smallCaps w:val="false"/>
        </w:rPr>
      </w:pPr>
      <w:r>
        <w:rPr>
          <w:caps w:val="false"/>
          <w:smallCaps w:val="false"/>
        </w:rPr>
        <w:t> </w:t>
      </w:r>
    </w:p>
    <w:tbl>
      <w:tblPr>
        <w:tblW w:w="3275" w:type="dxa"/>
        <w:jc w:val="left"/>
        <w:tblInd w:w="0" w:type="dxa"/>
        <w:tblLayout w:type="fixed"/>
        <w:tblCellMar>
          <w:top w:w="0" w:type="dxa"/>
          <w:left w:w="0" w:type="dxa"/>
          <w:bottom w:w="0" w:type="dxa"/>
          <w:right w:w="0" w:type="dxa"/>
        </w:tblCellMar>
      </w:tblPr>
      <w:tblGrid>
        <w:gridCol w:w="75"/>
        <w:gridCol w:w="3125"/>
        <w:gridCol w:w="75"/>
      </w:tblGrid>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Net Number = (A x B) - (A x 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r>
              <w:rPr/>
              <w:t>B</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with respect to which this Warrant is then being exercised.</w:t>
      </w:r>
    </w:p>
    <w:p>
      <w:pPr>
        <w:pStyle w:val="TextBody"/>
        <w:bidi w:val="0"/>
        <w:spacing w:before="0" w:after="0"/>
        <w:ind w:left="1496" w:right="0" w:hanging="56"/>
        <w:jc w:val="both"/>
        <w:rPr>
          <w:caps w:val="false"/>
          <w:smallCaps w:val="false"/>
        </w:rPr>
      </w:pPr>
      <w:r>
        <w:rPr>
          <w:caps w:val="false"/>
          <w:smallCaps w:val="false"/>
        </w:rPr>
        <w:t> </w:t>
      </w:r>
    </w:p>
    <w:p>
      <w:pPr>
        <w:pStyle w:val="TextBody"/>
        <w:bidi w:val="0"/>
        <w:spacing w:before="0" w:after="0"/>
        <w:ind w:left="1496" w:right="0" w:hanging="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as elected by the Holder: (i) the VWAP of the Class A Ordinary Shares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Exercise Notice or (z) the Bid Price of the Class A Ordinary Shares as of the time of the Holder’s execution of the applicable Exercise Notice if such Exercise Notice is executed during “regular trading hours” on a Trading Day and is delivered within two (2) hours thereafter pursuant to Section 1(a) hereof, or (iii) the Closing Sale Price of the Class A Ordinary Shares on the date of the applicable Exercise Notice if the date of such Exercise Notice is a Trading Day and such Exercise Notice is both executed and delivered pursuant to Section 1(a) hereof after the close of “regular trading hours” on such Trading Day.</w:t>
      </w:r>
    </w:p>
    <w:p>
      <w:pPr>
        <w:pStyle w:val="TextBody"/>
        <w:bidi w:val="0"/>
        <w:spacing w:before="0" w:after="0"/>
        <w:ind w:left="1496" w:right="0" w:hanging="56"/>
        <w:jc w:val="both"/>
        <w:rPr>
          <w:caps w:val="false"/>
          <w:smallCaps w:val="false"/>
        </w:rPr>
      </w:pPr>
      <w:r>
        <w:rPr>
          <w:caps w:val="false"/>
          <w:smallCaps w:val="false"/>
        </w:rPr>
        <w:t> </w:t>
      </w:r>
    </w:p>
    <w:p>
      <w:pPr>
        <w:pStyle w:val="TextBody"/>
        <w:bidi w:val="0"/>
        <w:spacing w:before="0" w:after="0"/>
        <w:ind w:left="1496" w:right="0" w:hanging="5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 the Exercise Price then in effect for the applicable Warrant Shares at the time of such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Warrant Shares are issued in a Cashless Exercise, the parties acknowledge and agree that in accordance with Section 3(a)(9) of the 1933 Act, the Warrant Shares take on the registered characteristics of the Warrants being exercised. For purposes of Rule 144(d) promulgated under the 1933 Act, as in effect on the Subscription Date, it is intended that the Warrant Shares issued in a Cashless Exercise shall be deemed to have been acquired by the Holder, and the holding period for the Warrant Shares shall be deemed to have commenced, on the date this Warrant was originally issued pursuant to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Zero Exercise Price Option. The Holder may also effect an exercise at a zero exercise price (the “zero exercise price option”) at any time while this Warrant is outstanding. Two (2) Class A Ordinary Shares are issuable under each Warrant in such zero exercise price option pursuant to any given Exercise Notice electing to effect a zero exercise price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Disputes.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Limitations on Exercises.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“Maximum Percentage”) of the Class A Ordinary Shares outstanding immediately after giving effect to such exercise. For purposes of the foregoing sentence, the aggregate number of Class A Ordinary Shares beneficially owned by the Holder and the other Attribution Parties shall include the number of Class A Ordinary Shares held by the Holder and all other Attribution Parties plus the number of Class A Ordinary Shares issuable upon exercise of this Warrant with respect to which the determination of such sentence is being made, but shall exclude Class A Ordinary Shares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shares or warrants, including other Registered Warrants) beneficially owned by the Holder or any other Attribution Party subject to a limitation on conversion or exercise analogous to the limitation contained in this Section 1(g). For purposes of this Section 1(g), beneficial ownership shall be calculated in accordance with Section 13(d) of the 1934 Act. For purposes of determining the number of outstanding Class A Ordinary Shares the Holder may acquire upon the exercise of this Warrant without exceeding the Maximum Percentage, the Holder may rely on the number of outstanding Class A Ordinary Shares as reflected in (x) the Company’s most recent Annual Report on Form 20-F, Report of Foreign Issuer on Form 6-K or other public filing with the SEC, as the case may be, (y) a more recent public announcement by the Company or (z) any other written notice by the Company or the Transfer Agent, if any, setting forth the number of Class A Ordinary Shares outstanding (the “Reported Outstanding Share Number”). If the Company receives an Exercise Notice from the Holder at a time when the actual number of outstanding Class A Ordinary Shares is less than the Reported Outstanding Share Number, the Company shall (i) notify the Holder in writing of the number of Class A Ordinary Shares then outstanding and, to the extent that such Exercise Notice would otherwise cause the Holder’s beneficial ownership, as determined pursuant to this Section 1(g), to exceed the Maximum Percentage, the Holder must notify the Company of a reduced number of Warrant Shares to be acquired pursuant to such Exercise Notice (the number of shares by which such purchase is reduced, the “Reduction Shares”) and (ii) as soon as reasonably practicable, the Company shall return to the Holder any exercise price paid by the Holder for the Reduction Shares. For any reason at any time, upon the written or oral request of the Holder, the Company shall within one (1) Business Day confirm orally, in writing or by electronic mail to the Holder the number of Class A Ordinary Shares then outstanding. In any case, the number of outstanding Class A Ordinary Shares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Class A Ordinary Shares to the Holder upon exercise of this Warrant results in the Holder and the other Attribution Parties being deemed to beneficially own, in the aggregate, more than the Maximum Percentage of the number of outstanding Class A Ordinary Shares (as determined under Section 13(d) of the 1934 Act), the number of shares so issued by which the Holder’s and the other Attribution Parties’ aggregate beneficial ownership exceeds the Maximum Percentage (the “Excess Shares”) shall be deemed null and void and shall be cancelled ab initio,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(with such increase not effective until the sixty-first (61st) day after delivery of such notice) or decrease the Maximum Percentage to any other percentage not in excess of 9.99%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Registered Warrants that is not an Attribution Party of the Holder. For purposes of clarity, the Class A Ordinary Shares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1(g) to the extent necessary to correct this paragraph or any portion of this paragraph which may be defective or inconsistent with the intended beneficial ownership limitation contained in this Section 1(g) or to make changes or supplements necessary or desirable to properly give effect to such limitation. The limitation contained in this paragraph may not be waived and shall apply to a successor holder of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Reservation of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Required Reserve Amount. So long as this Warrant remains outstanding, the Company shall at all times keep reserved for issuance under this Warrant a number of Class A Ordinary Shares at least equal to 100% of the maximum number of Class A Ordinary Shares as shall be necessary to satisfy the Company’s obligation to issue Class A Ordinary Shares under the Registered Warrants then outstanding (without regard to any limitations on exercise) (the “Required Reserve Amount”); provided that at no time shall the number of Class A Ordinary Shares reserved pursuant to this Section 1(h)(i) be reduced other than proportionally in connection with any exercise or redemption of Registered Warrants or such other event covered by Section 2(a) below. The Required Reserve Amount (including, without limitation, each increase in the number of shares so reserved) shall be allocated pro rata among the holders of the Registered Warrants based on number of Class A Ordinary Shares issuable upon exercise of Registered Warrants held by each holder on the Closing Date (without regard to any limitations on exercise) or increase in the number of reserved shares, as the case may be (the “Authorized Share Allocation”). In the event that a holder shall sell or otherwise transfer any of such holder’s Registered Warrants, each transferee shall be allocated a pro rata portion of such holder’s Authorized Share Allocation. Any Class A Ordinary Shares reserved and allocated to any Person which ceases to hold any Registered Warrants shall be allocated to the remaining holders of Registered Warrants, pro rata based on the number of Class A Ordinary Shares issuable upon exercise of the Registered Warrants then held by such holders (without regard to any limitations on exercise).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Insufficient Authorized Shares. If, notwithstanding Section 1(h)(i) above, and not in limitation thereof, at any time while any of the Registered Warrants remain outstanding, the Company does not have a sufficient number of authorized and unreserved Class A Ordinary Shares to satisfy its obligation to reserve the Required Reserve Amount (an “Authorized Share Failure”), then the Company shall immediately take all action necessary to increase the Company’s authorized Class A Ordinary Shares to an amount sufficient to allow the Company to reserve the Required Reserve Amount for all the Registered Warrants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shareholders for the approval of an increase in the number of authorized Class A Ordinary Shares. In connection with such meeting, the Company shall provide each shareholder with a proxy statement and shall use its best efforts to solicit its shareholders’ approval of such increase in authorized Class A Ordinary Shares and to cause its board of directors to recommend to the shareholders that they approve such proposal. In the event that the Company is prohibited from issuing Class A Ordinary Shares upon an exercise of this Warrant due to the failure by the Company to have sufficient Class A Ordinary Shares available out of the authorized but unissued Class A Ordinary Shares (such unavailable number of Class A Ordinary Shares, the “Authorization Failure Shares”), in lieu of delivering such Authorization Failure Shares to the Holder, the Company shall pay cash in exchange for the cancellation of such portion of this Warrant exercisable into such Authorization Failure Shares at a price equal to the sum of (i) the product of (x) such number of Authorization Failure Shares and (y) the greatest Closing Sale Price of the Class A Ordinary Shares on any Trading Day during the period commencing on the date the Holder delivers the applicable Exercise Notice with respect to such Authorization Failure Shares to the Company and ending on the date of such issuance and payment under this Section 1(g); and (ii) to the extent the Holder purchases (in an open market transaction or otherwise) Class A Ordinary Shares to deliver in satisfaction of a sale by the Holder of Authorization Failure Shares, any Buy-In Payment Amount, brokerage commissions and other out-of-pocket expenses, if any, of the Holder incurred in connection therewith. Nothing contained in this Section 1(h) shall limit any obligations of the Company under any provision of the Securities Purchase Agreement.</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ADJUSTMENT OF EXERCISE PRICE AND NUMBER OF WARRANT SHARES. The Exercise Price and number of Warrant Shares issuable upon exercise of this Warrant are subject to adjustment from time to time as set forth in this Section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 Dividends and Splits. Without limiting any provision of Section 2(b), Section 3 or Section 4, if the Company, at any time on or after the Subscription Date, (i) pays a share dividend on one or more classes of its then outstanding Class A Ordinary Shares or otherwise makes a distribution on any class of share capital that is payable in Class A Ordinary Shares, (ii) subdivides (by any share split, share dividend, recapitalization or otherwise) one or more classes of its then outstanding Class A Ordinary Shares into a larger number of shares or (iii) combines (by combination, reverse share split or otherwise) one or more classes of its then outstanding Class A Ordinary Shares into a smaller number of shares, then in each such case the Exercise Price shall be multiplied by a fraction of which the numerator shall be the number of Class A Ordinary Shares outstanding immediately before such event and of which the denominator shall be the number of Class A Ordinary Shares outstanding immediately after such event.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Number of Warrant Shares. Simultaneously with any adjustment to the Exercise Price pursuant to Section 2(a),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Calculations. All calculations under this Section 2 shall be made by rounding to the nearest cent or the nearest 1/100th of a share, as applicable. The number of Class A Ordinary Shares outstanding at any given time shall not include shares owned or held by or for the account of the Company, and the disposition of any such shares shall be considered an issuance or sale of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Voluntary Adjustment By Company. Subject to the rules and regulations of the Principal Market, the Company may at any time during the term of this Warrant reduce the then current Exercise Price to any amount and for any period of time deemed appropriate by the board of directors of the Company.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RIGHTS UPON DISTRIBUTION OF ASSETS</w:t>
      </w:r>
      <w:r>
        <w:rPr>
          <w:rFonts w:ascii="Times New Roman;Times;Serif" w:hAnsi="Times New Roman;Times;Serif"/>
          <w:b w:val="false"/>
          <w:i w:val="false"/>
          <w:caps w:val="false"/>
          <w:smallCaps w:val="false"/>
          <w:sz w:val="20"/>
        </w:rPr>
        <w:t>. In addition to any adjustments pursuant to Section 2 above, if the Company shall declare or make any dividend or other distribution of its assets (or rights to acquire its assets) to holders of Class A Ordinary Shares, by way of return of capital or otherwise (including, without limitation, any distribution of cash, shares or other securities, property, options, evidence of indebtedness or any other assets by way of a dividend, spin off, reclassification, corporate rearrangement, scheme of arrangement or other similar transaction) (a “Distribution”), at any time after the issuance of this Warrant, then, in each such case, the Holder shall be entitled to participate in such Distribution to the same extent that the Holder would have participated therein if the Holder had held the number of Class A Ordinary Shares acquirable upon complete exercise of this Warrant (without regard to any limitations or restrictions on exercise of this Warrant, including without limitation, the Maximum Percentage) immediately before the date on which a record is taken for such Distribution, or, if no such record is taken, the date as of which the record holders of Class A Ordinary Shares are to be determined for the participation in such Distribution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Class A Ordinary Shares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hanging="0"/>
        <w:jc w:val="both"/>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4. </w:t>
      </w:r>
      <w:r>
        <w:rPr>
          <w:rFonts w:ascii="Times New Roman;Times;Serif" w:hAnsi="Times New Roman;Times;Serif"/>
          <w:b w:val="false"/>
          <w:i w:val="false"/>
          <w:caps/>
          <w:sz w:val="20"/>
          <w:u w:val="single"/>
        </w:rPr>
        <w:t>PURCHASE RIGHTS; FUNDAMENTAL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Purchase Rights. In addition to any adjustments pursuant to Section 2 above, if at any time the Company grants, issues or sells any Options, Convertible Securities or rights to purchase shares, warrants, securities or other property pro rata to the record holders of any class of Class A Ordinary Shares (the “Purchase Rights”), then the Holder will be entitled to acquire, upon the terms applicable to such Purchase Rights, the aggregate Purchase Rights which the Holder could have acquired if the Holder had held the number of Class A Ordinary Shares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Class A Ordinary Shares are to be determined for the grant, issuance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Class A Ordinary Shares as a result of such Purchase Right (and beneficial ownership) to the extent of any such excess) and such Purchase Right to such extent shall be held in abeyance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to the same extent as if there had been no such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Fundamental Transactions. The Company shall not enter into or be party to a Fundamental Transaction unless (i)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share capital equivalent to the Class A Ordinary Shares acquirable and receivable upon exercise of this Warrant (without regard to any limitations on the exercise of this Warrant) prior to such Fundamental Transaction, and with an exercise price which applies the exercise price hereunder to such shares of share capital (but taking into account the relative value of the Class A Ordinary Shares pursuant to such Fundamental Transaction and the value of such shares of share capital, such adjustments to the number of shares of share capital and such exercise price being for the purpose of protecting the economic value of this Warrant immediately prior to the consummation of such Fundamental Transaction) and (ii) the Successor Entity (including its Parent Entity) is a publicly traded corporation whose common equity or Class A Ordinary Shares, as applicable, is quoted on the OTC Markets or listed for trading on an Eligible Market.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Class A Ordinary Shares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equity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Notwithstanding the foregoing, and without limiting Section 1(g) hereof, the Holder may elect, at its sole option, by delivery of written notice to the Company to waive this Section 4(b) to permit the Fundamental Transaction without the assumption of this Warrant. In addition to and not in substitution for any other rights hereunder, prior to the consummation of each Fundamental Transaction pursuant to which holders of Class A Ordinary Shares are entitled to receive securities or other assets with respect to or in exchange for Class A Ordinary Shares, the Company shall make appropriate provision to ensure that the Holder will thereafter have the right to receive upon an exercise of this Warrant at any time after the consummation of the applicable Fundamental Transaction but prior to the Expiration Date, in lieu of the Class A Ordinary Shares (or other securities, cash, assets or other property (except such items still issuable under Sections 3 and 4(a) above, which shall continue to be receivable thereafter)) issuable upon the exercise of the Warrant prior to such Fundamental Transaction, such shares,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Black Scholes Value. Notwithstanding the foregoing, at the request of the Holder delivered at any time commencing on the earliest to occur of (x) the public disclosure of any Fundamental Transaction, (y) the consummation of any Fundamental Transaction and (z) the Holder first becoming aware of any Fundamental Transaction through the date that is ninety (90) days after the public disclosure of the consummation of such Fundamental Transaction by the Company, the Company or the Successor Entity, as the case may be, shall purchase the unexercised portion of this Warrant from the Holder by paying to the Holder cash in an amount equal to the Black Scholes Value. Payment of such amount shall be made on or prior to the later of (i) the second (2nd) Trading Day after the date of such request and (ii) the date of consummation of such 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Application. The provisions of this Section 4 shall apply similarly and equally to successive Fundamental Transactions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share capital registered under the 1934 Act and thereafter receivable upon exercise of this Warrant (or any such other warrant)).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Memorandum of Association, Articles of Association or through any reorganization, transfer of assets, consolidation, merger, scheme of arrangement, dissolution, issuance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(a) shall not increase the par value of any Class A Ordinary Shares receivable upon the exercise of this Warrant above the Exercise Price then in effect, and (b) shall take all such actions as may be necessary or appropriate in order that the Company may validly and legally issue fully paid and non-assessable Class A Ordinary Shares upon the exercise of this Warrant. Notwithstanding anything herein to the contrary, if after the sixty (60) calendar day anniversary of the Issuance Date, the Holder is not permitted to exercise this Warrant in full for any reason (other than pursuant to restrictions set forth in Section 1(g) hereof), the Company shall use its reasonable best efforts to promptly remedy such failure, including, without limitation, obtaining such consents or approvals as necessary to permit such exercise into Class A Ordinary Shares.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WARRANT HOLDER NOT DEEMED A STOCKHOLDER</w:t>
      </w:r>
      <w:r>
        <w:rPr>
          <w:rFonts w:ascii="Times New Roman;Times;Serif" w:hAnsi="Times New Roman;Times;Serif"/>
          <w:b w:val="false"/>
          <w:i w:val="false"/>
          <w:caps w:val="false"/>
          <w:smallCaps w:val="false"/>
          <w:sz w:val="20"/>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shares, reclassification of shares,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w:t>
      </w:r>
    </w:p>
    <w:p>
      <w:pPr>
        <w:pStyle w:val="TextBody"/>
        <w:bidi w:val="0"/>
        <w:spacing w:before="0" w:after="0"/>
        <w:ind w:left="0" w:right="0" w:hanging="0"/>
        <w:jc w:val="both"/>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7. </w:t>
      </w:r>
      <w:r>
        <w:rPr>
          <w:rFonts w:ascii="Times New Roman;Times;Serif" w:hAnsi="Times New Roman;Times;Serif"/>
          <w:b w:val="false"/>
          <w:i w:val="false"/>
          <w:caps/>
          <w:sz w:val="20"/>
          <w:u w:val="single"/>
        </w:rPr>
        <w:t>REISSUANCE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of Warrant.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Lost, Stolen or Mutilated Warrant.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Exchangeable for Multiple Warrants.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Class A Ordinary Shares shall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Issuance of New Warrants.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Class A Ordinary Shares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(other than the issuance of Class A Ordinary Shares upon exercise in accordance with the terms hereof),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(ii) at least fifteen (15) Trading Days prior to the date on which the Company closes its books or takes a record (A) with respect to any dividend or distribution upon the Class A Ordinary Shares, (B) with respect to any grants, issuances or sales of any Options, Convertible Securities or rights to purchase shares, warrants, securities or other property to holders of Class A Ordinary Shares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pursuant to a Report of Foreign Issuer on Form 6-K. If the Company or any of its Subsidiaries provides material non-public information to the Holder that is not simultaneously filed in a Report of Foreign Issuer on Form 6-K and the Holder has not agreed to receive such material non-public information, the Company hereby covenants and agrees that the Holder shall not have any duty of confidentiality to the Company, any of its Subsidiaries or any of their respective officers, directors, employees, affiliates or agents with respect to, or a duty to any of the foregoing not to trade on the basis of, such material non-public information. It is expressly understood and agreed that the time of execution specified by the Holder in each Exercise Notice shall be definitive and may not be disputed or challenged by the Company.</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Warrant,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Report of Foreign Private Issuer on Form 6-K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in Section 9(f) of the Securities Purchase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 xml:space="preserve">THE COMPANY HEREBY IRREVOCABLY WAIVES ANY RIGHT IT MAY HAVE TO, AND AGREES NOT TO REQUEST, A JURY TRIAL FOR THE ADJUDICATION OF ANY DISPUTE HEREUNDER OR IN CONNECTION WITH OR ARISING OUT OF THIS WARRANT OR ANY TRANSACTION CONTEMPLATED HEREBY.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14. </w:t>
      </w:r>
      <w:r>
        <w:rPr>
          <w:rFonts w:ascii="Times New Roman;Times;Serif" w:hAnsi="Times New Roman;Times;Serif"/>
          <w:b w:val="false"/>
          <w:i w:val="false"/>
          <w:caps/>
          <w:sz w:val="20"/>
          <w:u w:val="single"/>
        </w:rPr>
        <w:t>DISPUTE RESOLUTION</w:t>
      </w:r>
      <w:r>
        <w:rPr>
          <w:rFonts w:ascii="Times New Roman;Times;Serif" w:hAnsi="Times New Roman;Times;Serif"/>
          <w:b w:val="false"/>
          <w:i w:val="false"/>
          <w:caps/>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Submission to Dispute Resolution.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the Exercise Price, the Closing Sale Price, the Bid Price, Black Scholes Value or fair market value or the arithmetic calculation of the number of Warrant Shares (as the case may be) (including, without limitation, a dispute relating to the determination of any of the foregoing), the Company or the Holder (as the case may be) shall submit the dispute to the other party via e-mail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Exercise Price, such Closing Sale Price, such Bid Price, Black Scholes Value or such fair market value or such arithmetic calculation of the number of Warrant Shares (as the case may be), at any time after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such initial notice by the Company or the Holder (as the case may be) of such dispute to the Company or the Holder (as the case may be), then the Holder may, at its sole option, select an independent, reputable investment bank to resolve such dispute.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and the Company shall each deliver to such investment bank (A) a copy of the initial dispute submission so delivered in accordance with the first sentence of this Section 15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Miscellaneous. The Company expressly acknowledges and agrees that this Section 14 constitutes an agreement to resolve disputes relating to the Exercise Price, the Closing Sale Price, the Bid Price, Black Scholes Value, fair market value or the arithmetic calculation of the number of Warrant Shares. The terms of this Warrant and each other applicable Transaction Document shall serve as the basis for the selected investment bank’s resolution of the applicable dispute. Nothing in this Section 14 shall limit the Holder from obtaining any injunctive relief or other equitable remedies.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REMEDIES, CHARACTERIZATION, OTHER OBLIGATIONS, BREACHES AND INJUNCTIVE RELIEF</w:t>
      </w:r>
      <w:r>
        <w:rPr>
          <w:rFonts w:ascii="Times New Roman;Times;Serif" w:hAnsi="Times New Roman;Times;Serif"/>
          <w:b w:val="false"/>
          <w:i w:val="false"/>
          <w:caps w:val="false"/>
          <w:smallCaps w:val="false"/>
          <w:sz w:val="20"/>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and consequential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pStyle w:val="TextBody"/>
        <w:bidi w:val="0"/>
        <w:spacing w:before="0" w:after="0"/>
        <w:ind w:left="0" w:right="0" w:hanging="0"/>
        <w:jc w:val="both"/>
        <w:rPr>
          <w:caps/>
          <w:strike w:val="false"/>
          <w:dstrike w:val="false"/>
          <w:u w:val="none"/>
          <w:effect w:val="none"/>
        </w:rPr>
      </w:pPr>
      <w:r>
        <w:rPr>
          <w:caps/>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16. </w:t>
      </w:r>
      <w:r>
        <w:rPr>
          <w:rFonts w:ascii="Times New Roman;Times;Serif" w:hAnsi="Times New Roman;Times;Serif"/>
          <w:b w:val="false"/>
          <w:i w:val="false"/>
          <w:caps/>
          <w:sz w:val="20"/>
          <w:u w:val="single"/>
        </w:rPr>
        <w:t xml:space="preserve">PAYMENT OF COLLECTION, ENFORCEMENT AND OTHER COSTS. </w:t>
      </w:r>
      <w:r>
        <w:rPr>
          <w:rFonts w:ascii="Times New Roman;Times;Serif" w:hAnsi="Times New Roman;Times;Serif"/>
          <w:b w:val="false"/>
          <w:i w:val="false"/>
          <w:caps/>
          <w:sz w:val="20"/>
        </w:rPr>
        <w:t>If (a) this Warrant is placed in the hands of an attorney for collection or enforcement or is collected or enforced through any legal proceeding or the holder otherwise takes action to collect amounts due under this Warrant or to enforce the provisions of this Warrant or (b) there occurs any bankruptcy, reorganization, receivership of the company or other proceedings affecting company creditors’ rights and involving a claim under this Warrant, then the Company shall pay the costs incurred by the Holder for such collection, enforcement or action or in connection with such bankruptcy, reorganization, receivership or other proceeding, including, without limitation, attorneys’ fees and disbursements.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Warrant may be offered for sale, sold, transferred or assigned without the consent of the Company.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Warrant,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shares having ordinary voting power for the election of directors of such Person or direct or cause the direction of the management and policies of such Person whether by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Class A Ordinary Shares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Bid Price</w:t>
      </w:r>
      <w:r>
        <w:rPr>
          <w:rFonts w:ascii="Times New Roman;Times;Serif" w:hAnsi="Times New Roman;Times;Serif"/>
          <w:b w:val="false"/>
          <w:i w:val="false"/>
          <w:caps w:val="false"/>
          <w:smallCaps w:val="false"/>
          <w:sz w:val="20"/>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Open Market (or a similar organization or agency succeeding to its functions of reporting prices)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share dividend, share split, share combination or other similar transaction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Black Scholes Value</w:t>
      </w:r>
      <w:r>
        <w:rPr>
          <w:rFonts w:ascii="Times New Roman;Times;Serif" w:hAnsi="Times New Roman;Times;Serif"/>
          <w:b w:val="false"/>
          <w:i w:val="false"/>
          <w:caps w:val="false"/>
          <w:smallCaps w:val="false"/>
          <w:sz w:val="20"/>
        </w:rPr>
        <w:t>” means the value of the unexercised portion of this Warrant remaining on the date of the Holder’s request pursuant to the Black Scholes Value provision of the Warrant, calculated using the Black Scholes option pricing model based on the applicable market price, Exercise Price, remaining term, risk-free rate, expected volatility and other customary inputs for warrants of this type, as determined in good faith or, in the case of dispute, pursuant to Section 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does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OTC Markets Group Inc. (formerly Pink Sheets LLC).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share dividend, share split, share combination or other similar transaction during such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means the Company’s Class A Ordinary Shares, par value $0.0025 per share, and any share capital into which such Class A Ordinary Shares shall have been changed or any share capital resulting from a reclassification of such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shares or other security (other than Options) that is at any time and under any circumstances, directly or indirectly, convertible into, exercisable or exchangeable for, or which otherwise entitles the holder thereof to acquire, any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NYSE American, The New York Stock Exchange, the Nasdaq Global Select Market, the Nasdaq Global Market or the Principal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means the date that is six (6) months after the Issuance Date or, if such date falls on a day other than a Trading Day or on which trading does not take place on the Principal Market, the next date that is not a Holiday.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Class A Ordinary Shares be subject to or party to one or more Subject Entities making, a purchase, tender or exchange offer that is accepted by the holders of at least either (x) 50% of the outstanding Class A Ordinary Shares, (y) 50% of the outstanding Class A Ordinary Shares calculated as if any Class A Ordinary Shares held by all Subject Entities making or party to, or Affiliated with any Subject Entities making or party to, such purchase, tender or exchange offer were not outstanding; or (z) such number of Class A Ordinary Shares such that all Subject Entities making or party to, or Affiliated with any Subject Entity making or party to, such purchase, tender or exchange offer, become collectively the beneficial owners (as defined in Rule 13d-3 under the 1934 Act) of at least 50% of the outstanding Class A Ordinary Shares,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Class A Ordinary Shares, (y) at least 50% of the outstanding Class A Ordinary Shares calculated as if any Class A Ordinary Shares held by all the Subject Entities making or party to, or Affiliated with any Subject Entity making or party to, such stock or share purchase agreement or other business combination were not outstanding; or (z) such number of Class A Ordinary Shares such that the Subject Entities become collectively the beneficial owners (as defined in Rule 13d-3 under the 1934 Act) of at least 50% of the outstanding Class A Ordinary Shares, or (v) reorganize, recapitalize or reclassify its Class A Ordinary Shares,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Class A Ordinary Shares,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Class A Ordinary Shares, (y) at least 50% of the aggregate ordinary voting power represented by issued and outstanding Class A Ordinary Shares not held by all such Subject Entities as of the date of this Warrant calculated as if any Class A Ordinary Shares held by all such Subject Entities were not outstanding, or (z) a percentage of the aggregate ordinary voting power represented by issued and outstanding Class A Ordinary Shares or other equity securities of the Company sufficient to allow such Subject Entities to effect a statutory short form merger or other transaction requiring other shareholders of the Company to surrender their Class A Ordinary Shares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Class A Ordinary Shares or Convertible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Class A Ordinary Shares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Class A Ordinary Shares, any day on which the Class A Ordinary Shares is traded on the Principal Market, or, if the Principal Market is not the principal trading market for the Class A Ordinary Shares, then on the principal securities exchange or securities market on which the Class A Ordinary Shares is then traded, provided that “Trading Day” shall not include any day on which the Class A Ordinary Shares is scheduled to trade on such exchange or market for less than 4.5 hours or any day that the Class A Ordinary Shares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Class A Ordinary Shares, any day on which The New York Stock Exchange (or any successor thereto) is open for trading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14. All such determinations shall be appropriately adjusted for any share dividend, share split, share combination, recapitalization or other similar transaction during such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WITNESS WHEREOF, the Company has caused this Warrant to Purchase Class A Ordinary Shares to be duly executed as of the Issuance Date set out above.</w:t>
      </w:r>
    </w:p>
    <w:p>
      <w:pPr>
        <w:pStyle w:val="TextBody"/>
        <w:bidi w:val="0"/>
        <w:spacing w:before="0" w:after="0"/>
        <w:ind w:left="4680" w:right="0" w:hanging="360"/>
        <w:jc w:val="left"/>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75"/>
        <w:gridCol w:w="895"/>
        <w:gridCol w:w="1595"/>
        <w:gridCol w:w="184"/>
      </w:tblGrid>
      <w:tr>
        <w:trPr/>
        <w:tc>
          <w:tcPr>
            <w:tcW w:w="75" w:type="dxa"/>
            <w:tcBorders/>
            <w:vAlign w:val="center"/>
          </w:tcPr>
          <w:p>
            <w:pPr>
              <w:pStyle w:val="TableContents"/>
              <w:bidi w:val="0"/>
              <w:spacing w:before="0" w:after="283"/>
              <w:jc w:val="left"/>
              <w:rPr/>
            </w:pPr>
            <w:r>
              <w:rPr/>
              <w:t> </w:t>
            </w:r>
          </w:p>
        </w:tc>
        <w:tc>
          <w:tcPr>
            <w:tcW w:w="2674" w:type="dxa"/>
            <w:gridSpan w:val="3"/>
            <w:tcBorders/>
            <w:vAlign w:val="center"/>
          </w:tcPr>
          <w:p>
            <w:pPr>
              <w:pStyle w:val="TableContents"/>
              <w:bidi w:val="0"/>
              <w:spacing w:before="0" w:after="283"/>
              <w:jc w:val="left"/>
              <w:rPr/>
            </w:pPr>
            <w:r>
              <w:rPr/>
              <w:t>Intercont (Cayman) Limited</w:t>
            </w:r>
          </w:p>
        </w:tc>
      </w:tr>
      <w:tr>
        <w:trPr/>
        <w:tc>
          <w:tcPr>
            <w:tcW w:w="75" w:type="dxa"/>
            <w:tcBorders/>
            <w:vAlign w:val="center"/>
          </w:tcPr>
          <w:p>
            <w:pPr>
              <w:pStyle w:val="TableContents"/>
              <w:bidi w:val="0"/>
              <w:spacing w:before="0" w:after="283"/>
              <w:jc w:val="left"/>
              <w:rPr/>
            </w:pPr>
            <w:r>
              <w:rPr/>
              <w:t> </w:t>
            </w:r>
          </w:p>
        </w:tc>
        <w:tc>
          <w:tcPr>
            <w:tcW w:w="267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By:</w:t>
            </w:r>
          </w:p>
        </w:tc>
        <w:tc>
          <w:tcPr>
            <w:tcW w:w="177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Name:</w:t>
            </w:r>
          </w:p>
        </w:tc>
        <w:tc>
          <w:tcPr>
            <w:tcW w:w="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Title:</w:t>
            </w:r>
          </w:p>
        </w:tc>
        <w:tc>
          <w:tcPr>
            <w:tcW w:w="184" w:type="dxa"/>
            <w:tcBorders/>
            <w:vAlign w:val="center"/>
          </w:tcPr>
          <w:p>
            <w:pPr>
              <w:pStyle w:val="TableContents"/>
              <w:bidi w:val="0"/>
              <w:spacing w:before="0" w:after="283"/>
              <w:jc w:val="left"/>
              <w:rPr/>
            </w:pPr>
            <w:r>
              <w:rPr/>
              <w:t> </w:t>
            </w:r>
          </w:p>
        </w:tc>
      </w:tr>
    </w:tbl>
    <w:p>
      <w:pPr>
        <w:pStyle w:val="TextBody"/>
        <w:bidi w:val="0"/>
        <w:spacing w:before="0" w:after="0"/>
        <w:ind w:left="468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EXERCISE NOTICE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TO BE EXECUTED BY THE REGISTERED HOLDER TO EXERCISE THIS</w:t>
        <w:br/>
        <w:t>WARRANT TO PURCHASE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(Cayman)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holder hereby elects to exercise the Warrant to Purchase Class A Ordinary Shares No. _______ (the “Warrant”) of Intercont (Cayman) Limited, a Cayman Islands exempt company (the “Company”) as specified below. Capitalized terms used herein and not otherwise defined shall have the respective meanings set forth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Exercise Method. The Holder intends that this exercise shall be made as:</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Exercise” with respect to _________________ Warrant Shares; and/or</w:t>
      </w:r>
    </w:p>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“Cashless Exercise” with respect to _______________ Warrant Shares; and/or</w:t>
      </w:r>
    </w:p>
    <w:p>
      <w:pPr>
        <w:pStyle w:val="TextBody"/>
        <w:bidi w:val="0"/>
        <w:spacing w:before="0" w:after="0"/>
        <w:ind w:left="2160" w:right="0" w:hanging="9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“Zero Exercise Price Option” with respect to _______________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 (ii) if applicable, the Bid Price as of such time of execution of this Exercise Notice was $________.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Delivery of Warrant Shares. The Company shall deliver to Holder, or its designee or agent as specified below, __________ Class A Ordinary Shares in accordance with the terms of the Warrant. Delivery shall be made to Holder, or for its benefit,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76"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as a certificate to the following name and to the following address:</w:t>
      </w:r>
    </w:p>
    <w:p>
      <w:pPr>
        <w:pStyle w:val="TextBody"/>
        <w:bidi w:val="0"/>
        <w:spacing w:before="0" w:after="0"/>
        <w:ind w:left="0" w:right="0" w:firstLine="720"/>
        <w:jc w:val="both"/>
        <w:rPr>
          <w:caps w:val="false"/>
          <w:smallCaps w:val="false"/>
        </w:rPr>
      </w:pPr>
      <w:r>
        <w:rPr>
          <w:caps w:val="false"/>
          <w:smallCaps w:val="false"/>
        </w:rPr>
        <w:t> </w:t>
      </w:r>
    </w:p>
    <w:tbl>
      <w:tblPr>
        <w:tblW w:w="950" w:type="dxa"/>
        <w:jc w:val="left"/>
        <w:tblInd w:w="0" w:type="dxa"/>
        <w:tblLayout w:type="fixed"/>
        <w:tblCellMar>
          <w:top w:w="0" w:type="dxa"/>
          <w:left w:w="0" w:type="dxa"/>
          <w:bottom w:w="0" w:type="dxa"/>
          <w:right w:w="0" w:type="dxa"/>
        </w:tblCellMar>
      </w:tblPr>
      <w:tblGrid>
        <w:gridCol w:w="75"/>
        <w:gridCol w:w="800"/>
        <w:gridCol w:w="75"/>
      </w:tblGrid>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Issue to:</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by Deposit/Withdrawal at Custodian as follows:</w:t>
      </w:r>
    </w:p>
    <w:p>
      <w:pPr>
        <w:pStyle w:val="TextBody"/>
        <w:bidi w:val="0"/>
        <w:spacing w:before="0" w:after="0"/>
        <w:ind w:left="144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0" w:type="dxa"/>
          <w:right w:w="0" w:type="dxa"/>
        </w:tblCellMar>
      </w:tblPr>
      <w:tblGrid>
        <w:gridCol w:w="75"/>
        <w:gridCol w:w="1730"/>
        <w:gridCol w:w="75"/>
      </w:tblGrid>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DTC Participant:</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DTC Number: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Account Number: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380"/>
        <w:gridCol w:w="650"/>
        <w:gridCol w:w="60"/>
        <w:gridCol w:w="75"/>
      </w:tblGrid>
      <w:tr>
        <w:trPr/>
        <w:tc>
          <w:tcPr>
            <w:tcW w:w="380" w:type="dxa"/>
            <w:tcBorders/>
            <w:vAlign w:val="center"/>
          </w:tcPr>
          <w:p>
            <w:pPr>
              <w:pStyle w:val="TableContents"/>
              <w:bidi w:val="0"/>
              <w:spacing w:before="0" w:after="283"/>
              <w:jc w:val="left"/>
              <w:rPr/>
            </w:pPr>
            <w:r>
              <w:rPr/>
              <w:t>By:</w:t>
            </w:r>
          </w:p>
        </w:tc>
        <w:tc>
          <w:tcPr>
            <w:tcW w:w="71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0" w:type="dxa"/>
        <w:jc w:val="left"/>
        <w:tblInd w:w="0" w:type="dxa"/>
        <w:tblLayout w:type="fixed"/>
        <w:tblCellMar>
          <w:top w:w="0" w:type="dxa"/>
          <w:left w:w="0" w:type="dxa"/>
          <w:bottom w:w="0" w:type="dxa"/>
          <w:right w:w="0" w:type="dxa"/>
        </w:tblCellMar>
      </w:tblPr>
      <w:tblGrid>
        <w:gridCol w:w="75"/>
        <w:gridCol w:w="770"/>
        <w:gridCol w:w="60"/>
        <w:gridCol w:w="75"/>
      </w:tblGrid>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Tax ID: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760" w:type="dxa"/>
        <w:jc w:val="left"/>
        <w:tblInd w:w="0" w:type="dxa"/>
        <w:tblLayout w:type="fixed"/>
        <w:tblCellMar>
          <w:top w:w="0" w:type="dxa"/>
          <w:left w:w="0" w:type="dxa"/>
          <w:bottom w:w="0" w:type="dxa"/>
          <w:right w:w="0" w:type="dxa"/>
        </w:tblCellMar>
      </w:tblPr>
      <w:tblGrid>
        <w:gridCol w:w="75"/>
        <w:gridCol w:w="1550"/>
        <w:gridCol w:w="60"/>
        <w:gridCol w:w="75"/>
      </w:tblGrid>
      <w:tr>
        <w:trPr/>
        <w:tc>
          <w:tcPr>
            <w:tcW w:w="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E-mail Address:</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ACKNOWLEDGMENT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Exercise Notice and hereby directs ______________ to issue the above indicated number of Class A Ordinary Shares in accordance with the Transfer Agent Instructions dated _________, 202 , from the Company and acknowledged and agreed to by _______________.</w:t>
      </w:r>
    </w:p>
    <w:p>
      <w:pPr>
        <w:pStyle w:val="TextBody"/>
        <w:bidi w:val="0"/>
        <w:spacing w:before="0" w:after="0"/>
        <w:ind w:left="0" w:right="0" w:firstLine="720"/>
        <w:jc w:val="both"/>
        <w:rPr>
          <w:caps w:val="false"/>
          <w:smallCaps w:val="false"/>
        </w:rPr>
      </w:pPr>
      <w:r>
        <w:rPr>
          <w:caps w:val="false"/>
          <w:smallCaps w:val="false"/>
        </w:rPr>
        <w:t> </w:t>
      </w:r>
    </w:p>
    <w:tbl>
      <w:tblPr>
        <w:tblW w:w="2749" w:type="dxa"/>
        <w:jc w:val="left"/>
        <w:tblInd w:w="0" w:type="dxa"/>
        <w:tblLayout w:type="fixed"/>
        <w:tblCellMar>
          <w:top w:w="0" w:type="dxa"/>
          <w:left w:w="0" w:type="dxa"/>
          <w:bottom w:w="0" w:type="dxa"/>
          <w:right w:w="0" w:type="dxa"/>
        </w:tblCellMar>
      </w:tblPr>
      <w:tblGrid>
        <w:gridCol w:w="75"/>
        <w:gridCol w:w="895"/>
        <w:gridCol w:w="1595"/>
        <w:gridCol w:w="184"/>
      </w:tblGrid>
      <w:tr>
        <w:trPr/>
        <w:tc>
          <w:tcPr>
            <w:tcW w:w="75" w:type="dxa"/>
            <w:tcBorders/>
            <w:vAlign w:val="center"/>
          </w:tcPr>
          <w:p>
            <w:pPr>
              <w:pStyle w:val="TableContents"/>
              <w:bidi w:val="0"/>
              <w:spacing w:before="0" w:after="283"/>
              <w:jc w:val="left"/>
              <w:rPr/>
            </w:pPr>
            <w:r>
              <w:rPr/>
              <w:t> </w:t>
            </w:r>
          </w:p>
        </w:tc>
        <w:tc>
          <w:tcPr>
            <w:tcW w:w="2674" w:type="dxa"/>
            <w:gridSpan w:val="3"/>
            <w:tcBorders/>
            <w:vAlign w:val="center"/>
          </w:tcPr>
          <w:p>
            <w:pPr>
              <w:pStyle w:val="TableContents"/>
              <w:bidi w:val="0"/>
              <w:spacing w:before="0" w:after="283"/>
              <w:jc w:val="left"/>
              <w:rPr/>
            </w:pPr>
            <w:r>
              <w:rPr/>
              <w:t>Intercont (Cayman) Limited</w:t>
            </w:r>
          </w:p>
        </w:tc>
      </w:tr>
      <w:tr>
        <w:trPr/>
        <w:tc>
          <w:tcPr>
            <w:tcW w:w="75" w:type="dxa"/>
            <w:tcBorders/>
            <w:vAlign w:val="center"/>
          </w:tcPr>
          <w:p>
            <w:pPr>
              <w:pStyle w:val="TableContents"/>
              <w:bidi w:val="0"/>
              <w:spacing w:before="0" w:after="283"/>
              <w:jc w:val="left"/>
              <w:rPr/>
            </w:pPr>
            <w:r>
              <w:rPr/>
              <w:t> </w:t>
            </w:r>
          </w:p>
        </w:tc>
        <w:tc>
          <w:tcPr>
            <w:tcW w:w="267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By:</w:t>
            </w:r>
          </w:p>
        </w:tc>
        <w:tc>
          <w:tcPr>
            <w:tcW w:w="177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Name:</w:t>
            </w:r>
          </w:p>
        </w:tc>
        <w:tc>
          <w:tcPr>
            <w:tcW w:w="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Title:</w:t>
            </w:r>
          </w:p>
        </w:tc>
        <w:tc>
          <w:tcPr>
            <w:tcW w:w="184" w:type="dxa"/>
            <w:tcBorders/>
            <w:vAlign w:val="center"/>
          </w:tcPr>
          <w:p>
            <w:pPr>
              <w:pStyle w:val="TableContents"/>
              <w:bidi w:val="0"/>
              <w:spacing w:before="0" w:after="283"/>
              <w:jc w:val="left"/>
              <w:rPr/>
            </w:pPr>
            <w:r>
              <w:rPr/>
              <w:t> </w:t>
            </w:r>
          </w:p>
        </w:tc>
      </w:tr>
    </w:tbl>
    <w:p>
      <w:pPr>
        <w:pStyle w:val="TextBody"/>
        <w:bidi w:val="0"/>
        <w:spacing w:before="0" w:after="0"/>
        <w:ind w:left="4680" w:right="0" w:hanging="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jc w:val="right"/>
        <w:rPr>
          <w:b/>
        </w:rPr>
      </w:pPr>
      <w:bookmarkStart w:id="4" w:name="ea029745401ex10-1.htm"/>
      <w:bookmarkStart w:id="5" w:name="ksea029745401ex101"/>
      <w:bookmarkEnd w:id="4"/>
      <w:bookmarkEnd w:id="5"/>
      <w:r>
        <w:rPr>
          <w:b/>
        </w:rPr>
        <w:t>Exhibit 10.1</w:t>
      </w:r>
      <w:r>
        <w:br w:type="page"/>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“Agreement”) is dated as of [●], 2026, between Intercont (Cayman) Limited, an exempted company incorporated under the laws of the Cayman Islands (the “Company”), and each purchaser identified on the signature pages hereto (each, including its successors and assigns, a “Purchaser” and collectively the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In addition to the terms defined elsewhere in this Agreement, the following terms shall have the meanings set forth in this Section 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means all applicable laws, statutes, rules, regulations, ordinances, judgments, orders and decrees of any Governmental Authority.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Cayman Counsel</w:t>
      </w:r>
      <w:r>
        <w:rPr>
          <w:rFonts w:ascii="Times New Roman;Times;Serif" w:hAnsi="Times New Roman;Times;Serif"/>
          <w:b w:val="false"/>
          <w:i w:val="false"/>
          <w:caps w:val="false"/>
          <w:smallCaps w:val="false"/>
          <w:sz w:val="20"/>
        </w:rPr>
        <w:t>” means Quality Law Services Ltd., with its office located at Suite 102, Cannon Place, North Sound Road, George Town, Grand Cayman KY1-9006.</w:t>
      </w:r>
    </w:p>
    <w:p>
      <w:pPr>
        <w:pStyle w:val="TextBody"/>
        <w:bidi w:val="0"/>
        <w:spacing w:before="0" w:after="0"/>
        <w:ind w:left="720" w:right="0" w:firstLine="400"/>
        <w:jc w:val="left"/>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A Ordinary Shares</w:t>
      </w:r>
      <w:r>
        <w:rPr>
          <w:rFonts w:ascii="Times New Roman;Times;Serif" w:hAnsi="Times New Roman;Times;Serif"/>
          <w:b w:val="false"/>
          <w:i w:val="false"/>
          <w:caps w:val="false"/>
          <w:smallCaps w:val="false"/>
          <w:sz w:val="20"/>
        </w:rPr>
        <w:t>” means the Company’s Class A ordinary shares, par value US$0.0025 per share.</w:t>
      </w:r>
    </w:p>
    <w:p>
      <w:pPr>
        <w:pStyle w:val="TextBody"/>
        <w:bidi w:val="0"/>
        <w:spacing w:before="0" w:after="0"/>
        <w:ind w:left="720" w:right="0" w:firstLine="40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firstLine="400"/>
        <w:jc w:val="left"/>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conditions precedent to (i) the Purchasers’ obligations to pay the Subscription Amount and (ii) the Company’s obligations to deliver the Securities have been satisfied or waived.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Jun He Law Offices LLC, with its office located at Suite 1919, 630 Fifth Avenue New York.</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means Deposit/Withdrawal at Custodian.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(a) Ordinary Shares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720" w:right="0" w:firstLine="400"/>
        <w:jc w:val="left"/>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federal, state, local, foreign or other governmental, quasi-governmental, judicial or regulatory authority.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3.1(q).</w:t>
      </w:r>
    </w:p>
    <w:p>
      <w:pPr>
        <w:pStyle w:val="TextBody"/>
        <w:bidi w:val="0"/>
        <w:spacing w:before="0" w:after="0"/>
        <w:ind w:left="720" w:right="0" w:firstLine="400"/>
        <w:jc w:val="left"/>
        <w:rPr>
          <w:caps w:val="false"/>
          <w:smallCaps w:val="false"/>
        </w:rPr>
      </w:pPr>
      <w:r>
        <w:rPr>
          <w:caps w:val="false"/>
          <w:smallCaps w:val="false"/>
        </w:rPr>
        <w:t> </w:t>
      </w:r>
    </w:p>
    <w:p>
      <w:pPr>
        <w:pStyle w:val="TextBody"/>
        <w:bidi w:val="0"/>
        <w:spacing w:before="0" w:after="0"/>
        <w:ind w:left="72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720" w:right="0" w:firstLine="400"/>
        <w:jc w:val="left"/>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means the Company’s best-efforts public offering of up to [8,000,000] Units pursuant to the Registration Statement and Prospectus.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means the Class A ordinary shares of the Company, par value US$0.0025 per share.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Shares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Unit Purchase Price</w:t>
      </w:r>
      <w:r>
        <w:rPr>
          <w:rFonts w:ascii="Times New Roman;Times;Serif" w:hAnsi="Times New Roman;Times;Serif"/>
          <w:b w:val="false"/>
          <w:i w:val="false"/>
          <w:caps w:val="false"/>
          <w:smallCaps w:val="false"/>
          <w:sz w:val="20"/>
        </w:rPr>
        <w:t>” means US$[●] per Unit.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trust, limited liability company, association, governmental authority or other entity.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means Prime Number Capital LLC.</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 Counsel</w:t>
      </w:r>
      <w:r>
        <w:rPr>
          <w:rFonts w:ascii="Times New Roman;Times;Serif" w:hAnsi="Times New Roman;Times;Serif"/>
          <w:b w:val="false"/>
          <w:i w:val="false"/>
          <w:caps w:val="false"/>
          <w:smallCaps w:val="false"/>
          <w:sz w:val="20"/>
        </w:rPr>
        <w:t>” means Ye &amp; Associates, P.C.</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Pricing Prospectus</w:t>
      </w:r>
      <w:r>
        <w:rPr>
          <w:rFonts w:ascii="Times New Roman;Times;Serif" w:hAnsi="Times New Roman;Times;Serif"/>
          <w:b w:val="false"/>
          <w:i w:val="false"/>
          <w:caps w:val="false"/>
          <w:smallCaps w:val="false"/>
          <w:sz w:val="20"/>
        </w:rPr>
        <w:t>” means the preliminary prospectus included in the Registration Statement immediately prior to execution of this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filed with the Commission pursuant to Rule 424(b).</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xml:space="preserve">” shall have the meaning ascribed thereto in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Company’s effective Registration Statement on Form F-1 (File No. 333- [●]), including all exhibits and financial statements and any prospectus supplement relating thereto.</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means all consents, approvals, authorizations and orders required for the consummation of the transactions contemplated by this Agreement, including the effectiveness of the Registration Statement and applicable Nasdaq notifications.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means all reports, schedules, forms, statements and other documents filed by the Company with the Commission pursuant to the Securities Act or the Exchange Act, including the Registration Statement and the Prospectus, and all exhibits thereto and documents incorporated by reference therein.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Units, the Ordinary Shares included in the Units, the Warrants included in the Units and the Warrant Shares issuable upon exercise of the Warrants.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Ordinary Shares included in the Units.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Ordinary Shares).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with respect to each Purchaser, the aggregate purchase price to be paid by such Purchaser for the Securities purchased hereunder, as set forth on such Purchaser’s signature page.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shall have the meaning ascribed thereto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Nasdaq is open for trading.</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Warrants, and all exhibits and schedules hereto and any other agreements or instruments executed in connection with the transactions contemplated hereby.</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Transhare Corporation, or any successor transfer agent of the Company.</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 means the units offered by the Company, each consisting of one Ordinary Share and one Warrant.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the warrants exercisable for Ordinary Shares issued as part of the Units.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Class A Ordinary Shares issuable upon any exercise of the Warrants, whether by cash exercise, cashless exercise or pursuant to the zero exercise price option provided therein, including, without limitation, up to 16,000,000 Class A Ordinary Shares issuable upon exercise of the Warrants pursuant to the zero exercise price option, as such number may be adjusted from time to time in accordance with the terms of the Warrants. The term “Warrant Shares” shall further include all additional Class A Ordinary Shares issuable as a result of any anti-dilution adjustment, stock split, stock dividend, recapitalization, reclassification, combination, merger, consolidation or other similar transaction affecting the Warrants or the Class A Ordinary Shares.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Subject to the terms and conditions set forth herein, at the Closing, the Company agrees to sell, and each Purchaser, severally and not jointly, agrees to purchase, such number of Units set forth opposite such Purchaser’s name on Annex A hereto at the Per Unit Purchase Price. Each Unit shall consist of: (a) one Ordinary Share; and (b) one Warrant. The Units shall immediately separate upon issuance and the Shares and Warrants shall be issued separately. The aggregate purchase price to be paid by each Purchaser for the Units purchased hereunder (the “Subscription Amount”) shall be set forth opposite such Purchaser’s name on Annex A hereto. On the Closing Date, each Purchaser shall deliver to the Company, via wire transfer of immediately available funds, its Subscription Amount, and the Company shall deliver to each Purchaser: (i) the Shares issuable to such Purchaser pursuant to this Agreement, registered in the name of such Purchaser (or its nominee) and delivered electronically through DWAC; and (ii) the Warrants issuable to such Purchaser pursuant to this Agreement. The Closing shall occur remotely via the electronic exchange of documents and signatures. Notwithstanding anything herein to the contrary, if at any time after the execution of this Agreement by a Purchaser and prior to the Closing, such Purchaser sells, assigns or otherwise transfers to any Person all or any portion of the Shares to be issued to such Purchaser hereunder (collectively, the “Pre-Settlement Shares”), such Purchaser shall nevertheless remain obligated to purchase such Pre-Settlement Shares at the Closing, and the Company shall remain obligated to issue such Pre-Settlement Shares to such Purchaser at the Closing, provided that the Company shall not be obligated to deliver any Shares until the Company has received payment in full for such Shares. The Company acknowledges and agrees that the foregoing shall not constitute a representation or covenant by any Purchaser regarding whether such Purchaser will sell any Shares prior to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240" w:right="0" w:firstLine="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legal opinion of Cayman Counsel and U.S. Counsel to the Company, in form and substance reasonably satisfactory to the Placement Agent;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Company’s wire instructions, executed by the Chief Executive Officer or Chief Financial Officer of the Company;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irrevocable instructions to the Transfer Agent instructing the Transfer Agent to deliver via DWAC the Shares issuable to such Purchaser pursuant to this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Warrants issuable to such Purchaser duly executed by the Company;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Pricing Prospectus and the Prospectus (which may be delivered in accordance with Rule 172 under the Securities Act); and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certificate of the Chief Executive Officer of the Company certifying that the representations and warranties of the Company are true and correct as of the Closing Date.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w:t>
      </w:r>
    </w:p>
    <w:p>
      <w:pPr>
        <w:pStyle w:val="TextBody"/>
        <w:bidi w:val="0"/>
        <w:spacing w:before="0" w:after="0"/>
        <w:ind w:left="24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by wire transfer of immediately available funds in accordance with the Company’s wire instructions.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Conditions to the Obligations of the Company. The obligations of the Company hereunder in connection with the Closing are subject to the following conditions being met:</w:t>
      </w:r>
    </w:p>
    <w:p>
      <w:pPr>
        <w:pStyle w:val="TextBody"/>
        <w:bidi w:val="0"/>
        <w:spacing w:before="0" w:after="0"/>
        <w:ind w:left="24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on the Closing Date of the representations and warranties of each Purchaser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Conditions to the Obligations of the Purchasers. The respective obligations of each Purchaser hereunder in connection with the Closing are subject to the following conditions being met:</w:t>
      </w:r>
    </w:p>
    <w:p>
      <w:pPr>
        <w:pStyle w:val="TextBody"/>
        <w:bidi w:val="0"/>
        <w:spacing w:before="0" w:after="0"/>
        <w:ind w:left="24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trading in the Ordinary Shares shall not have been suspended by the Commission or Nasdaq;</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Registration Statement shall remain effective and no stop order suspending the effectiveness thereof shall have been issued;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Shares and Warrant Shares shall have been approved for listing on Nasdaq, subject only to official notice of issuance; and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no governmental authority shall have enacted, issued or entered any order which prohibits the consummation of the transactions contemplated hereby.</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makes the following representations and warranties to each Purchaser as of the date hereof and as of the Closing Date, except as set forth in the SEC Reports, which disclosures shall be deemed a part hereof and shall qualify any representation or warranty made herein to the extent of the disclosure contained therein:</w:t>
      </w:r>
    </w:p>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u w:val="single"/>
              </w:rPr>
              <w:t>Subsidiaries</w:t>
            </w:r>
            <w:r>
              <w:rPr/>
              <w:t>. Each of the Company’s direct and indirect subsidiaries as defined under Rule 405 (each a “Subsidiary” and collectively, the “Subsidiaries”) has been identified on Schedule 3.1(a) hereto. Each of the Subsidiaries has been duly incorporated, is validly existing as a corporation in good standing under the laws of the jurisdiction of its incorporation, has the corporate power and authority to own its property and to conduct its business as described in the Prospectus and SEC Reports; all of the equity interests of each Subsidiary have been duly and validly authorized and issued, are owned directly or indirectly by the Company, are fully paid and non-assessable and, are free and clear of all liens, encumbrances, equities or claims. None of the outstanding share capital or equity interest in any Subsidiary was issued in violation of pre-emptive or similar rights of any security holder of such Subsidiary. All of the constitutive or organizational documents of each of the Subsidiaries comply with the requirements of Applicable Laws of its jurisdiction of incorporation or organization and are in full force and effect. Apart from the Subsidiaries identified on Schedule 3.1(a) hereto, the Company has no direct or indirect Subsidiaries.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u w:val="single"/>
              </w:rPr>
              <w:t>Organization and Qualification</w:t>
            </w:r>
            <w:r>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u w:val="single"/>
              </w:rPr>
              <w:t>Material Adverse Effect</w:t>
            </w:r>
            <w:r>
              <w:rPr/>
              <w:t>”) and no Proceeding has been instituted in any such jurisdiction revoking, limiting or curtailing or seeking to revoke, limit or curtail such power and authority or qualification.</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(c)</w:t>
            </w:r>
          </w:p>
        </w:tc>
        <w:tc>
          <w:tcPr>
            <w:tcW w:w="9963" w:type="dxa"/>
            <w:tcBorders/>
            <w:vAlign w:val="center"/>
          </w:tcPr>
          <w:p>
            <w:pPr>
              <w:pStyle w:val="TableContents"/>
              <w:bidi w:val="0"/>
              <w:spacing w:before="0" w:after="283"/>
              <w:jc w:val="both"/>
              <w:rPr/>
            </w:pPr>
            <w:r>
              <w:rPr>
                <w:u w:val="single"/>
              </w:rPr>
              <w:t>Authorization; Enforcement</w:t>
            </w:r>
            <w:r>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tc>
      </w:tr>
    </w:tbl>
    <w:p>
      <w:pPr>
        <w:pStyle w:val="TextBody"/>
        <w:bidi w:val="0"/>
        <w:spacing w:before="0" w:after="0"/>
        <w:ind w:left="840" w:right="0" w:hanging="360"/>
        <w:jc w:val="both"/>
        <w:rPr>
          <w:caps w:val="false"/>
          <w:smallCaps w:val="false"/>
        </w:rPr>
      </w:pPr>
      <w:r>
        <w:rPr>
          <w:caps w:val="false"/>
          <w:smallCaps w:val="false"/>
        </w:rPr>
        <w:t> </w:t>
      </w:r>
    </w:p>
    <w:p>
      <w:pPr>
        <w:pStyle w:val="TextBody"/>
        <w:bidi w:val="0"/>
        <w:spacing w:before="0" w:after="0"/>
        <w:ind w:left="8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(d)</w:t>
            </w:r>
          </w:p>
        </w:tc>
        <w:tc>
          <w:tcPr>
            <w:tcW w:w="9948" w:type="dxa"/>
            <w:tcBorders/>
            <w:vAlign w:val="center"/>
          </w:tcPr>
          <w:p>
            <w:pPr>
              <w:pStyle w:val="TableContents"/>
              <w:bidi w:val="0"/>
              <w:spacing w:before="0" w:after="283"/>
              <w:jc w:val="both"/>
              <w:rPr/>
            </w:pPr>
            <w:r>
              <w:rPr>
                <w:u w:val="single"/>
              </w:rPr>
              <w:t>No Conflicts</w:t>
            </w:r>
            <w:r>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283"/>
              <w:jc w:val="both"/>
              <w:rPr/>
            </w:pPr>
            <w:r>
              <w:rPr>
                <w:u w:val="single"/>
              </w:rPr>
              <w:t>Filings, Consents and Approvals</w:t>
            </w:r>
            <w:r>
              <w:rPr/>
              <w:t>. The Company is not required to obtain any consent, waiver, authorization or order of, give any notice to, or make any filing or registration with, any court or other governmental authority in connection with the execution, delivery and performance of the Transaction Documents, other than: (i) filings required by the Commission; (ii) filings required by Nasdaq; (iii) applicable state securities or Blue Sky filings; and (iv) such consents, waivers, authorizations or filings that have been obtained or made.</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(f)</w:t>
            </w:r>
          </w:p>
        </w:tc>
        <w:tc>
          <w:tcPr>
            <w:tcW w:w="9995" w:type="dxa"/>
            <w:tcBorders/>
            <w:vAlign w:val="center"/>
          </w:tcPr>
          <w:p>
            <w:pPr>
              <w:pStyle w:val="TableContents"/>
              <w:bidi w:val="0"/>
              <w:spacing w:before="0" w:after="283"/>
              <w:jc w:val="both"/>
              <w:rPr/>
            </w:pPr>
            <w:r>
              <w:rPr>
                <w:u w:val="single"/>
              </w:rPr>
              <w:t>Issuance of Securities</w:t>
            </w:r>
            <w:r>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Ordinary Shares issuable pursuant to this Agreement and the Warrants. The Company has prepared and filed the Registration Statement in conformity with the requirements of the Securities Act, which became effective on [●], 2026 (the “Effective Date”),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tc>
      </w:tr>
    </w:tbl>
    <w:p>
      <w:pPr>
        <w:pStyle w:val="TextBody"/>
        <w:bidi w:val="0"/>
        <w:spacing w:before="0" w:after="0"/>
        <w:ind w:left="840" w:right="0" w:hanging="360"/>
        <w:jc w:val="both"/>
        <w:rPr>
          <w:caps w:val="false"/>
          <w:smallCaps w:val="false"/>
        </w:rPr>
      </w:pPr>
      <w:r>
        <w:rPr>
          <w:caps w:val="false"/>
          <w:smallCaps w:val="false"/>
        </w:rPr>
        <w:t> </w:t>
      </w:r>
    </w:p>
    <w:p>
      <w:pPr>
        <w:pStyle w:val="TextBody"/>
        <w:bidi w:val="0"/>
        <w:spacing w:before="0" w:after="0"/>
        <w:ind w:left="8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(g)</w:t>
            </w:r>
          </w:p>
        </w:tc>
        <w:tc>
          <w:tcPr>
            <w:tcW w:w="9948" w:type="dxa"/>
            <w:tcBorders/>
            <w:vAlign w:val="center"/>
          </w:tcPr>
          <w:p>
            <w:pPr>
              <w:pStyle w:val="TableContents"/>
              <w:bidi w:val="0"/>
              <w:spacing w:before="0" w:after="283"/>
              <w:jc w:val="both"/>
              <w:rPr/>
            </w:pPr>
            <w:r>
              <w:rPr>
                <w:u w:val="single"/>
              </w:rPr>
              <w:t>Capitalization</w:t>
            </w:r>
            <w:r>
              <w:rPr/>
              <w:t>. The authorized share capital of the Company is as set forth in the SEC Reports. The Company has issued and outstanding share capital consisting of Class A Ordinary Shares and Class B Ordinary Shares as disclosed in the SEC Reports. All outstanding Ordinary Shares have been duly authorized, validly issued, fully paid and non-assessable and were issued in compliance with all applicable securities laws. Except as disclosed in the SEC Reports, including with respect to the Warrants issued in connection with the Offering, there are no outstanding options, warrants, rights to subscribe to, calls or commitments of any character whatsoever relating to, or securities, rights or obligations convertible into or exercisable or exchangeable for, any shares of capital stock of the Company. The Company has reserved from its duly authorized share capital a sufficient number of Ordinary Shares for issuance pursuant to this Agreement and upon exercise of the Warrants, including pursuant to the zero exercise price option (as defined in the Warrant) and any anti-dilution adjustments provided therein. The issuance of the Securities contemplated hereby will not obligate the Company to issue Ordinary Shares or other securities to any Person other than the Purchasers and will not trigger any anti-dilution or price-reset provision under any existing agreement, except as disclosed in the SEC Reports. No Person has any preemptive rights, rights of first refusal or other similar rights to subscribe for or purchase securities of the Company arising by reason of the issuance of the Securities contemplated hereby.</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(h)</w:t>
            </w:r>
          </w:p>
        </w:tc>
        <w:tc>
          <w:tcPr>
            <w:tcW w:w="9949" w:type="dxa"/>
            <w:tcBorders/>
            <w:vAlign w:val="center"/>
          </w:tcPr>
          <w:p>
            <w:pPr>
              <w:pStyle w:val="TableContents"/>
              <w:bidi w:val="0"/>
              <w:spacing w:before="0" w:after="283"/>
              <w:jc w:val="both"/>
              <w:rPr/>
            </w:pPr>
            <w:r>
              <w:rPr>
                <w:u w:val="single"/>
              </w:rPr>
              <w:t>SEC Reports; Registration Statement</w:t>
            </w:r>
            <w:r>
              <w:rPr/>
              <w:t>. The Company has filed all SEC Reports required to be filed by it under the Securities Act and the Exchange Act during the preceding twelve (12) months (or such shorter period as the Company was required to file such reports). As of their respective dates, the SEC Reports complied in all material respects with the requirements of the Securities Act and the Exchange Act applicable thereto. None of the SEC Reports, at the time they were filed, contained any untrue statement of a material fact or omitted to state a material fact required to be stated therein or necessary in order to make the statements therein not misleading. The Registration Statement is effective under the Securities Act and no stop order suspending the effectiveness of the Registration Statement has been issued by the Commission and no proceedings for that purpose have been initiated or, to the knowledge of the Company, threatened by the Commission. The financial statements included in the SEC Reports comply in all material respects with applicable accounting requirements under GAAP and the rules and regulations of the Commission applicable with respect thereto as in effect at the time of filing. Such financial statements fairly present in all material respects the consolidated financial position of the Company and its Subsidiaries as of the dates thereof and the consolidated results of operations and cash flows for the periods then ended. The Company’s auditor is a public accounting firm registered with the PCAOB as required by the Sarbanes-Oxley Act and applicable PCAOB rules. All material terms of the Warrants and the potential dilutive impact thereof, including the zero exercise price option, have been disclosed in the SEC Reports.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6" w:type="dxa"/>
            <w:tcBorders/>
            <w:vAlign w:val="center"/>
          </w:tcPr>
          <w:p>
            <w:pPr>
              <w:pStyle w:val="TableContents"/>
              <w:bidi w:val="0"/>
              <w:spacing w:before="0" w:after="283"/>
              <w:jc w:val="both"/>
              <w:rPr/>
            </w:pPr>
            <w:r>
              <w:rPr>
                <w:u w:val="single"/>
              </w:rPr>
              <w:t>Material Changes; Undisclosed Events, Liabilities or Developments</w:t>
            </w:r>
            <w:r>
              <w:rPr/>
              <w:t>. Since the date of the latest audited financial statements included in the SEC Reports, except as specifically disclosed in the SEC Reports: (i) there has not been any Material Adverse Effect; (ii) the Company has not incurred any liabilities or obligations, direct or contingent, other than liabilities incurred in the ordinary course of business consistent with past practice; (iii) the Company has not altered its method of accounting; (iv) the Company has not declared or made any dividend or distribution of cash or other property to its shareholders; (vi) the Company has not issued any equity securities other than pursuant to employee equity incentive arrangements disclosed in the SEC Reports; and (vii) no event, liability, fact, circumstance, occurrence or development has occurred or exists with respect to the Company or its Subsidiaries or their respective businesses, properties, operations or financial condition that would be required to be disclosed by the Company under applicable securities laws and which has not been publicly disclosed.</w:t>
            </w:r>
          </w:p>
        </w:tc>
      </w:tr>
    </w:tbl>
    <w:p>
      <w:pPr>
        <w:pStyle w:val="TextBody"/>
        <w:bidi w:val="0"/>
        <w:spacing w:before="0" w:after="0"/>
        <w:ind w:left="840" w:right="0" w:hanging="360"/>
        <w:jc w:val="both"/>
        <w:rPr>
          <w:caps w:val="false"/>
          <w:smallCaps w:val="false"/>
        </w:rPr>
      </w:pPr>
      <w:r>
        <w:rPr>
          <w:caps w:val="false"/>
          <w:smallCaps w:val="false"/>
        </w:rPr>
        <w:t> </w:t>
      </w:r>
    </w:p>
    <w:p>
      <w:pPr>
        <w:pStyle w:val="TextBody"/>
        <w:bidi w:val="0"/>
        <w:spacing w:before="0" w:after="0"/>
        <w:ind w:left="8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(j)</w:t>
            </w:r>
          </w:p>
        </w:tc>
        <w:tc>
          <w:tcPr>
            <w:tcW w:w="10007" w:type="dxa"/>
            <w:tcBorders/>
            <w:vAlign w:val="center"/>
          </w:tcPr>
          <w:p>
            <w:pPr>
              <w:pStyle w:val="TableContents"/>
              <w:bidi w:val="0"/>
              <w:spacing w:before="0" w:after="283"/>
              <w:jc w:val="both"/>
              <w:rPr/>
            </w:pPr>
            <w:r>
              <w:rPr>
                <w:u w:val="single"/>
              </w:rPr>
              <w:t>Litigation</w:t>
            </w:r>
            <w:r>
              <w:rPr/>
              <w:t>. There is no Action pending or, to the knowledge of the Company, threatened against or affecting the Company, any Subsidiary or any of their respective properties or assets: (a) which would reasonably be expected to result in a Material Adverse Effect; or (b) which would reasonably be expected to materially and adversely affect the legality, validity or enforceability of any Transaction Document or the consummation of the transactions contemplated hereby. Neither the Company nor any Subsidiary is subject to any judgment, decree, injunction, rule or order of any governmental authority having, or which would reasonably be expected to have, a Material Adverse Effect. To the knowledge of the Company, there are no investigations, inquiries or proceedings pending or threatened by Nasdaq, the Commission, any Hong Kong governmental authority, any PRC governmental authority or any other regulatory authority against the Company or any Subsidiary which would reasonably be expected to result in a Material Adverse Effect. Except as disclosed in the SEC Reports, neither the Company nor any Subsidiary is a party to or subject to any order, writ, injunction or decree of any court or governmental authority that would be required to be disclosed under applicable securities laws.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(k)</w:t>
            </w:r>
          </w:p>
        </w:tc>
        <w:tc>
          <w:tcPr>
            <w:tcW w:w="9948" w:type="dxa"/>
            <w:tcBorders/>
            <w:vAlign w:val="center"/>
          </w:tcPr>
          <w:p>
            <w:pPr>
              <w:pStyle w:val="TableContents"/>
              <w:bidi w:val="0"/>
              <w:spacing w:before="0" w:after="283"/>
              <w:jc w:val="both"/>
              <w:rPr/>
            </w:pPr>
            <w:r>
              <w:rPr>
                <w:u w:val="single"/>
              </w:rPr>
              <w:t>Labor Relations</w:t>
            </w:r>
            <w:r>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 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Laws relating to employment and employment practices, terms and conditions of employment and wages and hours, except where the failure to be in compliance could not, individually or in the aggregate, reasonably be expected to have a Material Adverse Effect.</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(l)</w:t>
            </w:r>
          </w:p>
        </w:tc>
        <w:tc>
          <w:tcPr>
            <w:tcW w:w="10005" w:type="dxa"/>
            <w:tcBorders/>
            <w:vAlign w:val="center"/>
          </w:tcPr>
          <w:p>
            <w:pPr>
              <w:pStyle w:val="TableContents"/>
              <w:bidi w:val="0"/>
              <w:spacing w:before="0" w:after="283"/>
              <w:jc w:val="both"/>
              <w:rPr/>
            </w:pPr>
            <w:r>
              <w:rPr>
                <w:u w:val="single"/>
              </w:rPr>
              <w:t>Compliance</w:t>
            </w:r>
            <w:r>
              <w:rPr/>
              <w:t>. The Company and each Subsidiary is and has been in compliance with all applicable laws, rules, regulations, judgments, orders and decrees of all governmental authorities, including, without limitation, applicable securities laws, Nasdaq rules and regulations, anti-money laundering laws, anti-corruption laws and sanctions laws, except where the failure to be in compliance would not reasonably be expected to result in a Material Adverse Effect. Neither the Company nor any Subsidiary has received any written notice from any governmental authority alleging any material violation of any Applicable Law, rule or regulation that has not been cured or otherwise resolved. The Company is in compliance in all material respects with the applicable listing and corporate governance requirements of Nasdaq and has not received any notice from Nasdaq regarding the delisting or threatened delisting of the Ordinary Shares.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(m)</w:t>
            </w:r>
          </w:p>
        </w:tc>
        <w:tc>
          <w:tcPr>
            <w:tcW w:w="9887" w:type="dxa"/>
            <w:tcBorders/>
            <w:vAlign w:val="center"/>
          </w:tcPr>
          <w:p>
            <w:pPr>
              <w:pStyle w:val="TableContents"/>
              <w:bidi w:val="0"/>
              <w:spacing w:before="0" w:after="283"/>
              <w:jc w:val="both"/>
              <w:rPr/>
            </w:pPr>
            <w:r>
              <w:rPr>
                <w:u w:val="single"/>
              </w:rPr>
              <w:t>Environmental Laws</w:t>
            </w:r>
            <w:r>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“Hazardous Materials”)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(“Environmental Laws”);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tc>
      </w:tr>
    </w:tbl>
    <w:p>
      <w:pPr>
        <w:pStyle w:val="TextBody"/>
        <w:bidi w:val="0"/>
        <w:spacing w:before="0" w:after="0"/>
        <w:ind w:left="840" w:right="0" w:hanging="360"/>
        <w:jc w:val="both"/>
        <w:rPr>
          <w:caps w:val="false"/>
          <w:smallCaps w:val="false"/>
        </w:rPr>
      </w:pPr>
      <w:r>
        <w:rPr>
          <w:caps w:val="false"/>
          <w:smallCaps w:val="false"/>
        </w:rPr>
        <w:t> </w:t>
      </w:r>
    </w:p>
    <w:p>
      <w:pPr>
        <w:pStyle w:val="TextBody"/>
        <w:bidi w:val="0"/>
        <w:spacing w:before="0" w:after="0"/>
        <w:ind w:left="8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(n)</w:t>
            </w:r>
          </w:p>
        </w:tc>
        <w:tc>
          <w:tcPr>
            <w:tcW w:w="9940" w:type="dxa"/>
            <w:tcBorders/>
            <w:vAlign w:val="center"/>
          </w:tcPr>
          <w:p>
            <w:pPr>
              <w:pStyle w:val="TableContents"/>
              <w:bidi w:val="0"/>
              <w:spacing w:before="0" w:after="283"/>
              <w:jc w:val="both"/>
              <w:rPr/>
            </w:pPr>
            <w:r>
              <w:rPr>
                <w:u w:val="single"/>
              </w:rPr>
              <w:t>Regulatory Permits</w:t>
            </w:r>
            <w:r>
              <w:rPr/>
              <w:t>. The Company and the Subsidiaries possess all certificates, authorizations and permits issued by the appropriate federal, state, local or foreign regulatory authorities necessary to conduct their respective businesses as described in the Prospectus and the SEC Reports, except where the failure to possess such permits could not reasonably be expected to result in a Material Adverse Effect (“</w:t>
            </w:r>
            <w:r>
              <w:rPr>
                <w:u w:val="single"/>
              </w:rPr>
              <w:t>Material Permits</w:t>
            </w:r>
            <w:r>
              <w:rPr/>
              <w:t>”), and neither the Company nor any Subsidiary has received any notice of proceedings relating to the revocation or modification of any Material Permit.</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(o)</w:t>
            </w:r>
          </w:p>
        </w:tc>
        <w:tc>
          <w:tcPr>
            <w:tcW w:w="9947" w:type="dxa"/>
            <w:tcBorders/>
            <w:vAlign w:val="center"/>
          </w:tcPr>
          <w:p>
            <w:pPr>
              <w:pStyle w:val="TableContents"/>
              <w:bidi w:val="0"/>
              <w:spacing w:before="0" w:after="283"/>
              <w:jc w:val="both"/>
              <w:rPr/>
            </w:pPr>
            <w:r>
              <w:rPr>
                <w:u w:val="single"/>
              </w:rPr>
              <w:t>Law and Permits</w:t>
            </w:r>
            <w:r>
              <w:rPr/>
              <w:t>. The Company and each Subsidiary possess all permits, licenses, approvals, consents, registrations, certificates and other authorizations issued by the appropriate governmental authorities necessary to conduct their respective businesses as currently conducted, except where the failure to possess the same would not reasonably be expected to result in a Material Adverse Effect. The Company and each Subsidiary are in compliance with the terms and conditions of all such permits, licenses, approvals, consents and authorizations, except where the failure to so comply would not reasonably be expected to result in a Material Adverse Effect. All such permits, licenses, approvals, consents and authorizations are valid and in full force and effect, except where the failure to be valid and in full force and effect would not reasonably be expected to result in a Material Adverse Effect. Neither the Company nor any Subsidiary has received any written notice of any proceeding relating to the revocation, suspension, modification or limitation of any such permits, licenses, approvals, consents or authorizations which, if determined adversely to the Company or such Subsidiary, would reasonably be expected to result in a Material Adverse Effect.</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(p)</w:t>
            </w:r>
          </w:p>
        </w:tc>
        <w:tc>
          <w:tcPr>
            <w:tcW w:w="9946" w:type="dxa"/>
            <w:tcBorders/>
            <w:vAlign w:val="center"/>
          </w:tcPr>
          <w:p>
            <w:pPr>
              <w:pStyle w:val="TableContents"/>
              <w:bidi w:val="0"/>
              <w:spacing w:before="0" w:after="283"/>
              <w:jc w:val="both"/>
              <w:rPr/>
            </w:pPr>
            <w:r>
              <w:rPr>
                <w:u w:val="single"/>
              </w:rPr>
              <w:t>Title to Assets</w:t>
            </w:r>
            <w:r>
              <w:rPr/>
              <w:t>. The Company and the Subsidiaries do not own any real property. The Company and the Subsidiaries have good and marketable title in all personal property owned by them that is material to the business of the Company and the Subsidiaries, in each case free and clear of all Liens, except for (i) Liens arising under any credit facility, (ii) Liens as do not materially affect the value of such property and do not materially interfere with the use made and proposed to be made of such property by the Company and the Subsidiaries and (iii) Liens for the payment of foreign,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(q)</w:t>
            </w:r>
          </w:p>
        </w:tc>
        <w:tc>
          <w:tcPr>
            <w:tcW w:w="9949" w:type="dxa"/>
            <w:tcBorders/>
            <w:vAlign w:val="center"/>
          </w:tcPr>
          <w:p>
            <w:pPr>
              <w:pStyle w:val="TableContents"/>
              <w:bidi w:val="0"/>
              <w:spacing w:before="0" w:after="283"/>
              <w:jc w:val="both"/>
              <w:rPr/>
            </w:pPr>
            <w:r>
              <w:rPr>
                <w:u w:val="single"/>
              </w:rPr>
              <w:t>Intellectual Property</w:t>
            </w:r>
            <w:r>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Prospectus and the SEC Reports and which the failure to so have could have a Material Adverse Effect (collectively, the “</w:t>
            </w:r>
            <w:r>
              <w:rPr>
                <w:u w:val="single"/>
              </w:rPr>
              <w:t>Intellectual Property Rights</w:t>
            </w:r>
            <w:r>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Prospectus and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(r)</w:t>
            </w:r>
          </w:p>
        </w:tc>
        <w:tc>
          <w:tcPr>
            <w:tcW w:w="9986" w:type="dxa"/>
            <w:tcBorders/>
            <w:vAlign w:val="center"/>
          </w:tcPr>
          <w:p>
            <w:pPr>
              <w:pStyle w:val="TableContents"/>
              <w:bidi w:val="0"/>
              <w:spacing w:before="0" w:after="283"/>
              <w:jc w:val="both"/>
              <w:rPr/>
            </w:pPr>
            <w:r>
              <w:rPr>
                <w:u w:val="single"/>
              </w:rPr>
              <w:t>Insurance</w:t>
            </w:r>
            <w:r>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tc>
      </w:tr>
    </w:tbl>
    <w:p>
      <w:pPr>
        <w:pStyle w:val="TextBody"/>
        <w:bidi w:val="0"/>
        <w:spacing w:before="0" w:after="0"/>
        <w:ind w:left="840" w:right="0" w:hanging="360"/>
        <w:jc w:val="both"/>
        <w:rPr>
          <w:caps w:val="false"/>
          <w:smallCaps w:val="false"/>
        </w:rPr>
      </w:pPr>
      <w:r>
        <w:rPr>
          <w:caps w:val="false"/>
          <w:smallCaps w:val="false"/>
        </w:rPr>
        <w:t> </w:t>
      </w:r>
    </w:p>
    <w:p>
      <w:pPr>
        <w:pStyle w:val="TextBody"/>
        <w:bidi w:val="0"/>
        <w:spacing w:before="0" w:after="0"/>
        <w:ind w:left="8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(s)</w:t>
            </w:r>
          </w:p>
        </w:tc>
        <w:tc>
          <w:tcPr>
            <w:tcW w:w="9976" w:type="dxa"/>
            <w:tcBorders/>
            <w:vAlign w:val="center"/>
          </w:tcPr>
          <w:p>
            <w:pPr>
              <w:pStyle w:val="TableContents"/>
              <w:bidi w:val="0"/>
              <w:spacing w:before="0" w:after="283"/>
              <w:jc w:val="both"/>
              <w:rPr/>
            </w:pPr>
            <w:r>
              <w:rPr>
                <w:u w:val="single"/>
              </w:rPr>
              <w:t>Transactions With Affiliates and Employees</w:t>
            </w:r>
            <w:r>
              <w:rPr/>
              <w:t>. Except as disclosed in the SEC Reports, no current or former officer, director, employee, shareholder or Affiliate of the Company or any Subsidiary, or any family member thereof, is presently a party to any transaction with the Company or any Subsidiary that would be required to be disclosed in the SEC Reports pursuant to applicable securities laws. Except as disclosed in the SEC Reports, there are no outstanding loans, advances, guarantees or other extensions of credit made by the Company or any Subsidiary to or for the benefit of any current or former officer, director, employee, shareholder or Affiliate of the Company or any Subsidiary. All related-party transactions required to be disclosed in the SEC Reports have been so disclosed. Neither the Company nor any Subsidiary is a party to any employment, consulting, severance, retention or change-in-control agreement with any executive officer or director, except as disclosed in the SEC Reports.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(t)</w:t>
            </w:r>
          </w:p>
        </w:tc>
        <w:tc>
          <w:tcPr>
            <w:tcW w:w="10010" w:type="dxa"/>
            <w:tcBorders/>
            <w:vAlign w:val="center"/>
          </w:tcPr>
          <w:p>
            <w:pPr>
              <w:pStyle w:val="TableContents"/>
              <w:bidi w:val="0"/>
              <w:spacing w:before="0" w:after="283"/>
              <w:jc w:val="both"/>
              <w:rPr/>
            </w:pPr>
            <w:r>
              <w:rPr>
                <w:u w:val="single"/>
              </w:rPr>
              <w:t>Sarbanes-Oxley; Internal Accounting Controls</w:t>
            </w:r>
            <w:r>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u w:val="single"/>
              </w:rPr>
              <w:t>Evaluation Date</w:t>
            </w:r>
            <w:r>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(u)</w:t>
            </w:r>
          </w:p>
        </w:tc>
        <w:tc>
          <w:tcPr>
            <w:tcW w:w="9942" w:type="dxa"/>
            <w:tcBorders/>
            <w:vAlign w:val="center"/>
          </w:tcPr>
          <w:p>
            <w:pPr>
              <w:pStyle w:val="TableContents"/>
              <w:bidi w:val="0"/>
              <w:spacing w:before="0" w:after="283"/>
              <w:jc w:val="both"/>
              <w:rPr/>
            </w:pPr>
            <w:r>
              <w:rPr>
                <w:u w:val="single"/>
              </w:rPr>
              <w:t>Certain Fees</w:t>
            </w:r>
            <w:r>
              <w:rPr/>
              <w:t>. Except as set forth in the Pricing Prospectus and the Prospectus,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(v)</w:t>
            </w:r>
          </w:p>
        </w:tc>
        <w:tc>
          <w:tcPr>
            <w:tcW w:w="9937" w:type="dxa"/>
            <w:tcBorders/>
            <w:vAlign w:val="center"/>
          </w:tcPr>
          <w:p>
            <w:pPr>
              <w:pStyle w:val="TableContents"/>
              <w:bidi w:val="0"/>
              <w:spacing w:before="0" w:after="283"/>
              <w:jc w:val="both"/>
              <w:rPr/>
            </w:pPr>
            <w:r>
              <w:rPr>
                <w:u w:val="single"/>
              </w:rPr>
              <w:t>Investment Company</w:t>
            </w:r>
            <w:r>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tc>
      </w:tr>
    </w:tbl>
    <w:p>
      <w:pPr>
        <w:pStyle w:val="TextBody"/>
        <w:bidi w:val="0"/>
        <w:spacing w:before="0" w:after="0"/>
        <w:ind w:left="840" w:right="0" w:hanging="360"/>
        <w:jc w:val="both"/>
        <w:rPr>
          <w:caps w:val="false"/>
          <w:smallCaps w:val="false"/>
        </w:rPr>
      </w:pPr>
      <w:r>
        <w:rPr>
          <w:caps w:val="false"/>
          <w:smallCaps w:val="false"/>
        </w:rPr>
        <w:t> </w:t>
      </w:r>
    </w:p>
    <w:p>
      <w:pPr>
        <w:pStyle w:val="TextBody"/>
        <w:bidi w:val="0"/>
        <w:spacing w:before="0" w:after="0"/>
        <w:ind w:left="8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6"/>
        <w:gridCol w:w="9871"/>
      </w:tblGrid>
      <w:tr>
        <w:trPr/>
        <w:tc>
          <w:tcPr>
            <w:tcW w:w="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(w)</w:t>
            </w:r>
          </w:p>
        </w:tc>
        <w:tc>
          <w:tcPr>
            <w:tcW w:w="9871" w:type="dxa"/>
            <w:tcBorders/>
            <w:vAlign w:val="center"/>
          </w:tcPr>
          <w:p>
            <w:pPr>
              <w:pStyle w:val="TableContents"/>
              <w:bidi w:val="0"/>
              <w:spacing w:before="0" w:after="283"/>
              <w:jc w:val="both"/>
              <w:rPr/>
            </w:pPr>
            <w:r>
              <w:rPr>
                <w:u w:val="single"/>
              </w:rPr>
              <w:t>Registration Statement Maintenance</w:t>
            </w:r>
            <w:r>
              <w:rPr/>
              <w:t>. The Company shall use commercially reasonable efforts to maintain the effectiveness of the Registration Statement and to keep the Registration Statement available for the issuance and resale of the Securities, including the Warrant Shares, until all Warrants have expired or been exercised in full.</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(x)</w:t>
            </w:r>
          </w:p>
        </w:tc>
        <w:tc>
          <w:tcPr>
            <w:tcW w:w="9946" w:type="dxa"/>
            <w:tcBorders/>
            <w:vAlign w:val="center"/>
          </w:tcPr>
          <w:p>
            <w:pPr>
              <w:pStyle w:val="TableContents"/>
              <w:bidi w:val="0"/>
              <w:spacing w:before="0" w:after="283"/>
              <w:jc w:val="both"/>
              <w:rPr/>
            </w:pPr>
            <w:r>
              <w:rPr>
                <w:u w:val="single"/>
              </w:rPr>
              <w:t>Nasdaq Listing</w:t>
            </w:r>
            <w:r>
              <w:rPr/>
              <w:t>. The Ordinary Shares are listed on The Nasdaq Capital Market under the symbol “NCT,” and the Company has not received any notice from Nasdaq regarding the delisting or threatened delisting of the Ordinary Shares. The Company is in compliance in all material respects with the applicable listing and maintenance requirements of Nasdaq and is not aware of any facts or circumstances that would reasonably be expected to result in the delisting or suspension of the Ordinary Shares from Nasdaq. The issuance of the Securities contemplated hereby, including the issuance of the Warrant Shares upon exercise of the Warrants, does not violate the rules or regulations of Nasdaq and does not require shareholder approval under Nasdaq rules. The Company has taken no action designed to, or reasonably likely to have the effect of, terminating the registration of the Ordinary Shares under the Exchange Act or delisting the Ordinary Shares from Nasdaq. The Shares and Warrant Shares have been approved for listing on Nasdaq, subject only to official notice of issuance.</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(y)</w:t>
            </w:r>
          </w:p>
        </w:tc>
        <w:tc>
          <w:tcPr>
            <w:tcW w:w="9946" w:type="dxa"/>
            <w:tcBorders/>
            <w:vAlign w:val="center"/>
          </w:tcPr>
          <w:p>
            <w:pPr>
              <w:pStyle w:val="TableContents"/>
              <w:bidi w:val="0"/>
              <w:spacing w:before="0" w:after="283"/>
              <w:jc w:val="both"/>
              <w:rPr/>
            </w:pPr>
            <w:r>
              <w:rPr>
                <w:u w:val="single"/>
              </w:rPr>
              <w:t>Disclosure</w:t>
            </w:r>
            <w:r>
              <w:rPr/>
              <w:t>. The Company shall, on or before 9:00 a.m. (New York City time) on the first Trading Day immediately following the date hereof, issue a press release and/or furnish a Form 6-K or other applicable filing with the Commission reasonably disclosing the material terms of the transactions contemplated hereby. The Company confirms that neither it nor any other Person acting on its behalf has provided any Purchaser or its agents or counsel with any material non-public information regarding the Company or its Subsidiaries other than information that will be disclosed pursuant to the immediately preceding sentence. The Company understands and confirms that each Purchaser will rely on the foregoing representations in effecting transactions in securities of the Company. The Company shall not identify any Purchaser by name in any public filing or disclosure without such Purchaser’s prior written consent, except as required by applicable law or Commission regulations.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(z)</w:t>
            </w:r>
          </w:p>
        </w:tc>
        <w:tc>
          <w:tcPr>
            <w:tcW w:w="9951" w:type="dxa"/>
            <w:tcBorders/>
            <w:vAlign w:val="center"/>
          </w:tcPr>
          <w:p>
            <w:pPr>
              <w:pStyle w:val="TableContents"/>
              <w:bidi w:val="0"/>
              <w:spacing w:before="0" w:after="283"/>
              <w:jc w:val="both"/>
              <w:rPr/>
            </w:pPr>
            <w:r>
              <w:rPr>
                <w:u w:val="single"/>
              </w:rPr>
              <w:t>No Integrated Offering</w:t>
            </w:r>
            <w:r>
              <w:rPr/>
              <w:t>. Assuming the accuracy of the Purchasers’ representations and warranties set forth herein, neither the Company nor any Person acting on its behalf has directly or indirectly made any offers or sales of securities nor solicited any offers to buy any security under circumstances that would require integration of the Offering with the transactions contemplated hereby for purposes of the Securities Act or Nasdaq rules.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(aa)</w:t>
            </w:r>
          </w:p>
        </w:tc>
        <w:tc>
          <w:tcPr>
            <w:tcW w:w="9856" w:type="dxa"/>
            <w:tcBorders/>
            <w:vAlign w:val="center"/>
          </w:tcPr>
          <w:p>
            <w:pPr>
              <w:pStyle w:val="TableContents"/>
              <w:bidi w:val="0"/>
              <w:spacing w:before="0" w:after="283"/>
              <w:jc w:val="both"/>
              <w:rPr/>
            </w:pPr>
            <w:r>
              <w:rPr>
                <w:u w:val="single"/>
              </w:rPr>
              <w:t>Solvency</w:t>
            </w:r>
            <w:r>
              <w:rPr/>
              <w:t>. Based on the consolidated financial condition of the Company as of the Closing Date, after giving effect to the receipt by the Company of the proceeds from the sale of the Securities hereunder: (i) the fair value of the Company’s assets exceeds the amount of its liabilities, contingent or otherwise;(ii) the present fair saleable value of the Company’s assets is greater than the amount required to pay the probable liabilities of the Company on its debts as they become absolute and matured; (iii) the Company does not intend to incur, and does not believe that it will incur, debts beyond its ability to pay such debts as they become due; and (iv) the Company is not engaged in any business or transaction, and does not intend to engage in any business or transaction, for which its remaining assets would constitute unreasonably small capital. The Company is not entering into the transactions contemplated hereby with the intent to hinder, delay or defraud any creditor of the Company.</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(bb)</w:t>
            </w:r>
          </w:p>
        </w:tc>
        <w:tc>
          <w:tcPr>
            <w:tcW w:w="9827" w:type="dxa"/>
            <w:tcBorders/>
            <w:vAlign w:val="center"/>
          </w:tcPr>
          <w:p>
            <w:pPr>
              <w:pStyle w:val="TableContents"/>
              <w:bidi w:val="0"/>
              <w:spacing w:before="0" w:after="283"/>
              <w:jc w:val="both"/>
              <w:rPr/>
            </w:pPr>
            <w:r>
              <w:rPr>
                <w:u w:val="single"/>
              </w:rPr>
              <w:t>Tax Status</w:t>
            </w:r>
            <w:r>
              <w:rPr/>
              <w:t>. The Company and each Subsidiary has timely filed all material tax returns required to be filed by any governmental authority having jurisdiction over the Company or such Subsidiary, except where the failure to so file would not reasonably be expected to result in a Material Adverse Effect. The Company and each Subsidiary has paid all material taxes, assessments, governmental charges and penalties due and payable, except for any such taxes being contested in good faith and for which adequate reserves have been established in accordance with GAAP or where the failure to pay would not reasonably be expected to result in a Material Adverse Effect. There are no material unpaid taxes in any claim, audit, action, suit, proceeding or investigation pending against the Company or any Subsidiary by any governmental authority. No material tax deficiency has been asserted or, to the knowledge of the Company, threatened against the Company or any Subsidiary which has not been adequately reserved for in the financial statements included in the SEC Reports. There are no material liens for taxes upon the assets of the Company or any Subsidiary other than liens for current taxes not yet due and payable.</w:t>
            </w:r>
          </w:p>
        </w:tc>
      </w:tr>
    </w:tbl>
    <w:p>
      <w:pPr>
        <w:pStyle w:val="TextBody"/>
        <w:bidi w:val="0"/>
        <w:spacing w:before="0" w:after="0"/>
        <w:ind w:left="840" w:right="0" w:hanging="360"/>
        <w:jc w:val="both"/>
        <w:rPr>
          <w:caps w:val="false"/>
          <w:smallCaps w:val="false"/>
        </w:rPr>
      </w:pPr>
      <w:r>
        <w:rPr>
          <w:caps w:val="false"/>
          <w:smallCaps w:val="false"/>
        </w:rPr>
        <w:t> </w:t>
      </w:r>
    </w:p>
    <w:p>
      <w:pPr>
        <w:pStyle w:val="TextBody"/>
        <w:bidi w:val="0"/>
        <w:spacing w:before="0" w:after="0"/>
        <w:ind w:left="8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(cc)</w:t>
            </w:r>
          </w:p>
        </w:tc>
        <w:tc>
          <w:tcPr>
            <w:tcW w:w="9856" w:type="dxa"/>
            <w:tcBorders/>
            <w:vAlign w:val="center"/>
          </w:tcPr>
          <w:p>
            <w:pPr>
              <w:pStyle w:val="TableContents"/>
              <w:bidi w:val="0"/>
              <w:spacing w:before="0" w:after="283"/>
              <w:jc w:val="both"/>
              <w:rPr/>
            </w:pPr>
            <w:r>
              <w:rPr>
                <w:u w:val="single"/>
              </w:rPr>
              <w:t>Accountants</w:t>
            </w:r>
            <w:r>
              <w:rPr/>
              <w:t>. Assentsure PAC, whose report on the consolidated financial statements of the Company is included in the SEC Reports, is an independent registered public accounting firm with respect to the Company within the meaning of the Securities Act and the applicable rules and regulations of the Commission and the PCAOB. To the knowledge of the Company, Assentsure PAC is duly registered with the PCAOB and is not subject to any sanction, suspension or proceeding by the PCAOB or the Commission that would reasonably be expected to impair its ability to serve as the Company’s independent registered public accounting firm. The Company has not received any written notice from the PCAOB, the Commission or any governmental authority challenging the eligibility or independence of Assentsure PAC with respect to the financial statements included in the SEC Reports. The audited financial statements included in the SEC Reports have been prepared in accordance with GAAP applied on a consistent basis throughout the periods involved, except as may be otherwise specified therein.</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(dd)</w:t>
            </w:r>
          </w:p>
        </w:tc>
        <w:tc>
          <w:tcPr>
            <w:tcW w:w="9826" w:type="dxa"/>
            <w:tcBorders/>
            <w:vAlign w:val="center"/>
          </w:tcPr>
          <w:p>
            <w:pPr>
              <w:pStyle w:val="TableContents"/>
              <w:bidi w:val="0"/>
              <w:spacing w:before="0" w:after="283"/>
              <w:jc w:val="both"/>
              <w:rPr/>
            </w:pPr>
            <w:r>
              <w:rPr>
                <w:u w:val="single"/>
              </w:rPr>
              <w:t>Acknowledgment Regarding Purchasers’ Purchase of Securities</w:t>
            </w:r>
            <w:r>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(ee)</w:t>
            </w:r>
          </w:p>
        </w:tc>
        <w:tc>
          <w:tcPr>
            <w:tcW w:w="9835" w:type="dxa"/>
            <w:tcBorders/>
            <w:vAlign w:val="center"/>
          </w:tcPr>
          <w:p>
            <w:pPr>
              <w:pStyle w:val="TableContents"/>
              <w:bidi w:val="0"/>
              <w:spacing w:before="0" w:after="283"/>
              <w:jc w:val="both"/>
              <w:rPr/>
            </w:pPr>
            <w:r>
              <w:rPr>
                <w:u w:val="single"/>
              </w:rPr>
              <w:t>Acknowledgment Regarding Trading Activity</w:t>
            </w:r>
            <w:r>
              <w:rPr/>
              <w:t>. The Company acknowledges that the Purchasers may engage in ordinary course trading activities with respect to the Company’s securities in compliance with applicable securities laws and regulations.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(ff)</w:t>
            </w:r>
          </w:p>
        </w:tc>
        <w:tc>
          <w:tcPr>
            <w:tcW w:w="9912" w:type="dxa"/>
            <w:tcBorders/>
            <w:vAlign w:val="center"/>
          </w:tcPr>
          <w:p>
            <w:pPr>
              <w:pStyle w:val="TableContents"/>
              <w:bidi w:val="0"/>
              <w:spacing w:before="0" w:after="283"/>
              <w:jc w:val="both"/>
              <w:rPr/>
            </w:pPr>
            <w:r>
              <w:rPr>
                <w:u w:val="single"/>
              </w:rPr>
              <w:t>Regulation M Compliance.</w:t>
            </w:r>
            <w:r>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(gg)</w:t>
            </w:r>
          </w:p>
        </w:tc>
        <w:tc>
          <w:tcPr>
            <w:tcW w:w="9819" w:type="dxa"/>
            <w:tcBorders/>
            <w:vAlign w:val="center"/>
          </w:tcPr>
          <w:p>
            <w:pPr>
              <w:pStyle w:val="TableContents"/>
              <w:bidi w:val="0"/>
              <w:spacing w:before="0" w:after="283"/>
              <w:jc w:val="both"/>
              <w:rPr/>
            </w:pPr>
            <w:r>
              <w:rPr>
                <w:u w:val="single"/>
              </w:rPr>
              <w:t>Scheme or Arrangement with Shareholders</w:t>
            </w:r>
            <w:r>
              <w:rPr/>
              <w:t>. Neither the Company nor any of its Subsidiaries is a party to any scheme or arrangement through which shareholders or potential shareholders are being loaned, given or otherwise having money made available for the purchase of shares whether before, in or after the sale of Shares under this Agreement. Neither the Company nor any of its Subsidiaries is aware of any such scheme or arrangement, regardless of whether it is a party to a formal agreement.</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6"/>
        <w:gridCol w:w="9811"/>
      </w:tblGrid>
      <w:tr>
        <w:trPr/>
        <w:tc>
          <w:tcPr>
            <w:tcW w:w="3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(hh)</w:t>
            </w:r>
          </w:p>
        </w:tc>
        <w:tc>
          <w:tcPr>
            <w:tcW w:w="9811" w:type="dxa"/>
            <w:tcBorders/>
            <w:vAlign w:val="center"/>
          </w:tcPr>
          <w:p>
            <w:pPr>
              <w:pStyle w:val="TableContents"/>
              <w:bidi w:val="0"/>
              <w:spacing w:before="0" w:after="283"/>
              <w:jc w:val="both"/>
              <w:rPr/>
            </w:pPr>
            <w:r>
              <w:rPr>
                <w:u w:val="single"/>
              </w:rPr>
              <w:t>Office of Foreign Assets Control</w:t>
            </w:r>
            <w:r>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(“OFAC”).</w:t>
            </w:r>
          </w:p>
        </w:tc>
      </w:tr>
    </w:tbl>
    <w:p>
      <w:pPr>
        <w:pStyle w:val="TextBody"/>
        <w:bidi w:val="0"/>
        <w:spacing w:before="0" w:after="0"/>
        <w:ind w:left="840" w:right="0" w:hanging="360"/>
        <w:jc w:val="both"/>
        <w:rPr>
          <w:caps w:val="false"/>
          <w:smallCaps w:val="false"/>
        </w:rPr>
      </w:pPr>
      <w:r>
        <w:rPr>
          <w:caps w:val="false"/>
          <w:smallCaps w:val="false"/>
        </w:rPr>
        <w:t> </w:t>
      </w:r>
    </w:p>
    <w:p>
      <w:pPr>
        <w:pStyle w:val="TextBody"/>
        <w:bidi w:val="0"/>
        <w:spacing w:before="0" w:after="0"/>
        <w:ind w:left="8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(ii)</w:t>
            </w:r>
          </w:p>
        </w:tc>
        <w:tc>
          <w:tcPr>
            <w:tcW w:w="9936" w:type="dxa"/>
            <w:tcBorders/>
            <w:vAlign w:val="center"/>
          </w:tcPr>
          <w:p>
            <w:pPr>
              <w:pStyle w:val="TableContents"/>
              <w:bidi w:val="0"/>
              <w:spacing w:before="0" w:after="283"/>
              <w:jc w:val="both"/>
              <w:rPr/>
            </w:pPr>
            <w:r>
              <w:rPr>
                <w:u w:val="single"/>
              </w:rPr>
              <w:t>Certificates</w:t>
            </w:r>
            <w:r>
              <w:rPr/>
              <w:t>. On the Closing Date, the Placement Agent shall have received certificates in substantially the same form as those issued to the underwriters in connection with the Company’s initial public offering, including (i) a certificate from the Chief Executive Officer and Chief Financial Officer of the Company (the “Officers’ Certificate”); and (ii) a certificate signed by an officer of the Company (the “Incumbency Certificate”).</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(jj)</w:t>
            </w:r>
          </w:p>
        </w:tc>
        <w:tc>
          <w:tcPr>
            <w:tcW w:w="9942" w:type="dxa"/>
            <w:tcBorders/>
            <w:vAlign w:val="center"/>
          </w:tcPr>
          <w:p>
            <w:pPr>
              <w:pStyle w:val="TableContents"/>
              <w:bidi w:val="0"/>
              <w:spacing w:before="0" w:after="283"/>
              <w:jc w:val="both"/>
              <w:rPr/>
            </w:pPr>
            <w:r>
              <w:rPr>
                <w:u w:val="single"/>
              </w:rPr>
              <w:t>Money Laundering</w:t>
            </w:r>
            <w:r>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“Money Laundering Laws”), and no Action or Proceeding by or before any court or governmental agency, authority or body or any arbitrator involving the Company or any Subsidiary with respect to the Money Laundering Laws is pending or, to the knowledge of the Company or any Subsidiary, threatened.</w:t>
            </w:r>
          </w:p>
        </w:tc>
      </w:tr>
    </w:tbl>
    <w:p>
      <w:pPr>
        <w:pStyle w:val="TextBody"/>
        <w:bidi w:val="0"/>
        <w:spacing w:before="0" w:after="0"/>
        <w:ind w:left="8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94"/>
        <w:gridCol w:w="9773"/>
      </w:tblGrid>
      <w:tr>
        <w:trPr/>
        <w:tc>
          <w:tcPr>
            <w:tcW w:w="3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pPr>
            <w:r>
              <w:rPr/>
              <w:t>(kk)</w:t>
            </w:r>
          </w:p>
        </w:tc>
        <w:tc>
          <w:tcPr>
            <w:tcW w:w="9773" w:type="dxa"/>
            <w:tcBorders/>
            <w:vAlign w:val="center"/>
          </w:tcPr>
          <w:p>
            <w:pPr>
              <w:pStyle w:val="TableContents"/>
              <w:bidi w:val="0"/>
              <w:spacing w:before="0" w:after="283"/>
              <w:jc w:val="both"/>
              <w:rPr/>
            </w:pPr>
            <w:r>
              <w:rPr>
                <w:u w:val="single"/>
              </w:rPr>
              <w:t>Foreign Private Issuer</w:t>
            </w:r>
            <w:r>
              <w:rPr/>
              <w:t>. The Company is a “foreign private issuer” as defined in Rule 405 promulgated under the Securities Act.</w:t>
            </w:r>
          </w:p>
        </w:tc>
      </w:tr>
    </w:tbl>
    <w:p>
      <w:pPr>
        <w:pStyle w:val="TextBody"/>
        <w:bidi w:val="0"/>
        <w:spacing w:before="0" w:after="0"/>
        <w:ind w:left="84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u w:val="single"/>
              </w:rPr>
              <w:t>Organization; Authority</w:t>
            </w:r>
            <w:r>
              <w:rPr/>
              <w:t>. Such Purchaser is an entity duly incorporated or otherwise organized, validly existing and in good standing under the laws of the jurisdiction of its incorporation or organization, with full power and authority to enter into and to consummate the transactions contemplated by the Transaction Documents and otherwise to carry out its obligations hereunder and thereunder. The execution, delivery and performance by such Purchaser of the Transaction Documents to which it is a party have been duly authorized by all necessary corporate, partnership, limited liability company or similar action on the part of such Purchaser. Each Transaction Document to which such Purchaser is a party has been duly executed by such Purchaser and, when delivered by such Purchaser in accordance with the terms hereof, will constitute the valid and legally binding obligation of such Purchaser, enforceable against such Purchaser in accordance with its terms, except as such enforceability may be limited by applicable bankruptcy, insolvency, reorganization, moratorium or similar laws affecting creditors’ rights generally and by general equitable principles.</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0" w:type="dxa"/>
            <w:tcBorders/>
            <w:vAlign w:val="center"/>
          </w:tcPr>
          <w:p>
            <w:pPr>
              <w:pStyle w:val="TableContents"/>
              <w:bidi w:val="0"/>
              <w:spacing w:before="0" w:after="283"/>
              <w:jc w:val="both"/>
              <w:rPr/>
            </w:pPr>
            <w:r>
              <w:rPr>
                <w:u w:val="single"/>
              </w:rPr>
              <w:t>Understandings or Arrangements.</w:t>
            </w:r>
            <w:r>
              <w:rPr/>
              <w:t xml:space="preserve"> Such Purchaser is acquiring the Securities as principal for its own account and has no direct or indirect arrangement or understanding with any other Person to distribute or regarding the distribution of the Securities in violation of the Securities Act. Such Purchaser is not purchasing the Securities as a result of any advertisement, article, notice or other communication regarding the Securities published in any newspaper, magazine or similar media or broadcast over television or radio or presented at any seminar or meeting.</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u w:val="single"/>
              </w:rPr>
              <w:t>Purchaser Status.</w:t>
            </w:r>
            <w:r>
              <w:rPr/>
              <w:t xml:space="preserve"> At the time such Purchaser was offered the Securities, it was, and as of the date hereof it is, an “accredited investor” as defined in Rule 501(a) under the Securities Act.</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39" w:type="dxa"/>
            <w:tcBorders/>
            <w:vAlign w:val="center"/>
          </w:tcPr>
          <w:p>
            <w:pPr>
              <w:pStyle w:val="TableContents"/>
              <w:bidi w:val="0"/>
              <w:spacing w:before="0" w:after="283"/>
              <w:jc w:val="both"/>
              <w:rPr/>
            </w:pPr>
            <w:r>
              <w:rPr>
                <w:u w:val="single"/>
              </w:rPr>
              <w:t>Experience of Such Purchaser.</w:t>
            </w:r>
            <w:r>
              <w:rPr/>
              <w:t xml:space="preserve"> Such Purchaser, either alone or together with its representatives, has such knowledge, sophistication and experience in financial and business matters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tc>
      </w:tr>
    </w:tbl>
    <w:p>
      <w:pPr>
        <w:pStyle w:val="TextBody"/>
        <w:bidi w:val="0"/>
        <w:spacing w:before="0" w:after="0"/>
        <w:ind w:left="880" w:right="0" w:hanging="400"/>
        <w:jc w:val="both"/>
        <w:rPr>
          <w:caps w:val="false"/>
          <w:smallCaps w:val="false"/>
        </w:rPr>
      </w:pPr>
      <w:r>
        <w:rPr>
          <w:caps w:val="false"/>
          <w:smallCaps w:val="false"/>
        </w:rPr>
        <w:t> </w:t>
      </w:r>
    </w:p>
    <w:p>
      <w:pPr>
        <w:pStyle w:val="TextBody"/>
        <w:bidi w:val="0"/>
        <w:spacing w:before="0" w:after="0"/>
        <w:ind w:left="880" w:right="0" w:hanging="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(e)</w:t>
            </w:r>
          </w:p>
        </w:tc>
        <w:tc>
          <w:tcPr>
            <w:tcW w:w="9963" w:type="dxa"/>
            <w:tcBorders/>
            <w:vAlign w:val="center"/>
          </w:tcPr>
          <w:p>
            <w:pPr>
              <w:pStyle w:val="TableContents"/>
              <w:bidi w:val="0"/>
              <w:spacing w:before="0" w:after="283"/>
              <w:jc w:val="both"/>
              <w:rPr/>
            </w:pPr>
            <w:r>
              <w:rPr>
                <w:u w:val="single"/>
              </w:rPr>
              <w:t>Access to Information.</w:t>
            </w:r>
            <w:r>
              <w:rPr/>
              <w:t xml:space="preserve"> Such Purchaser acknowledges that it has had the opportunity to review the Transaction Documents (including all exhibits and schedules thereto), the Prospectus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Agents nor any Affiliate of the Placement Agents has provided such Purchaser with any information or advice with respect to the Securities nor is such information or advice necessary or desired. Neither the Placement Agents nor any Affiliate has made or makes any representation as to the Company or the quality of the Securities and the Placement Agents and any Affiliate may have acquired non-public information with respect to the Company which such Purchaser agrees need not be provided to it. In connection with the issuance of the Securities to such Purchaser, neither the Placement Agents nor any of its Affiliates has acted as a financial advisor or fiduciary to such Purchaser.</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(f)</w:t>
            </w:r>
          </w:p>
        </w:tc>
        <w:tc>
          <w:tcPr>
            <w:tcW w:w="9994" w:type="dxa"/>
            <w:tcBorders/>
            <w:vAlign w:val="center"/>
          </w:tcPr>
          <w:p>
            <w:pPr>
              <w:pStyle w:val="TableContents"/>
              <w:bidi w:val="0"/>
              <w:spacing w:before="0" w:after="283"/>
              <w:jc w:val="both"/>
              <w:rPr/>
            </w:pPr>
            <w:r>
              <w:rPr>
                <w:u w:val="single"/>
              </w:rPr>
              <w:t>Certain Transactions and Confidentiality.</w:t>
            </w:r>
            <w:r>
              <w:rPr/>
              <w:t xml:space="preserve">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(g)</w:t>
            </w:r>
          </w:p>
        </w:tc>
        <w:tc>
          <w:tcPr>
            <w:tcW w:w="9942" w:type="dxa"/>
            <w:tcBorders/>
            <w:vAlign w:val="center"/>
          </w:tcPr>
          <w:p>
            <w:pPr>
              <w:pStyle w:val="TableContents"/>
              <w:bidi w:val="0"/>
              <w:spacing w:before="0" w:after="283"/>
              <w:jc w:val="both"/>
              <w:rPr/>
            </w:pPr>
            <w:r>
              <w:rPr>
                <w:u w:val="single"/>
              </w:rPr>
              <w:t>No Conflicts.</w:t>
            </w:r>
            <w:r>
              <w:rPr/>
              <w:t xml:space="preserve"> The execution, delivery and performance by such Purchaser of the Transaction Documents to which such Purchaser is a party and the consummation by such Purchaser of the transactions contemplated hereby and thereby will not: (i) conflict with or violate any provision of such Purchaser’s organizational documents; (ii) violate any Applicable Law; or (iii) result in a breach of any agreement to which such Purchaser is a party, except, in the case of clauses (ii) and (iii), where such conflict, violation or breach would not reasonably be expected to materially impair such Purchaser’s ability to perform its obligations hereunder.</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(h)</w:t>
            </w:r>
          </w:p>
        </w:tc>
        <w:tc>
          <w:tcPr>
            <w:tcW w:w="9938" w:type="dxa"/>
            <w:tcBorders/>
            <w:vAlign w:val="center"/>
          </w:tcPr>
          <w:p>
            <w:pPr>
              <w:pStyle w:val="TableContents"/>
              <w:bidi w:val="0"/>
              <w:spacing w:before="0" w:after="283"/>
              <w:jc w:val="both"/>
              <w:rPr/>
            </w:pPr>
            <w:r>
              <w:rPr>
                <w:u w:val="single"/>
              </w:rPr>
              <w:t>Reliance.</w:t>
            </w:r>
            <w:r>
              <w:rPr/>
              <w:t xml:space="preserve"> Such Purchaser has relied solely upon the SEC Reports, the Registration Statement, the Prospectus and independent investigations made by such Purchaser and its representatives in making its decision to purchase the Securities. Such Purchaser acknowledges that neither the Company nor the Placement Agent nor any of their respective Affiliates or representatives has made any representation or warranty to such Purchaser other than as expressly set forth in the Transaction Documents.</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(i)</w:t>
            </w:r>
          </w:p>
        </w:tc>
        <w:tc>
          <w:tcPr>
            <w:tcW w:w="9987" w:type="dxa"/>
            <w:tcBorders/>
            <w:vAlign w:val="center"/>
          </w:tcPr>
          <w:p>
            <w:pPr>
              <w:pStyle w:val="TableContents"/>
              <w:bidi w:val="0"/>
              <w:spacing w:before="0" w:after="283"/>
              <w:jc w:val="both"/>
              <w:rPr/>
            </w:pPr>
            <w:r>
              <w:rPr>
                <w:u w:val="single"/>
              </w:rPr>
              <w:t>No Governmental Review.</w:t>
            </w:r>
            <w:r>
              <w:rPr/>
              <w:t xml:space="preserve"> Such Purchaser understands that no United States federal or state agency or any other governmental authority has passed upon or made any recommendation or endorsement of the Securities or the fairness or suitability of the investment in the Securities.</w:t>
            </w:r>
          </w:p>
        </w:tc>
      </w:tr>
    </w:tbl>
    <w:p>
      <w:pPr>
        <w:pStyle w:val="TextBody"/>
        <w:bidi w:val="0"/>
        <w:spacing w:before="0" w:after="0"/>
        <w:ind w:left="880" w:right="0" w:hanging="400"/>
        <w:jc w:val="both"/>
        <w:rPr>
          <w:caps w:val="false"/>
          <w:smallCaps w:val="false"/>
        </w:rPr>
      </w:pPr>
      <w:r>
        <w:rPr>
          <w:caps w:val="false"/>
          <w:smallCaps w:val="false"/>
        </w:rPr>
        <w:t> </w:t>
      </w:r>
    </w:p>
    <w:p>
      <w:pPr>
        <w:pStyle w:val="TextBody"/>
        <w:bidi w:val="0"/>
        <w:spacing w:before="0" w:after="0"/>
        <w:ind w:left="880" w:right="0" w:hanging="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(j)</w:t>
            </w:r>
          </w:p>
        </w:tc>
        <w:tc>
          <w:tcPr>
            <w:tcW w:w="9964" w:type="dxa"/>
            <w:tcBorders/>
            <w:vAlign w:val="center"/>
          </w:tcPr>
          <w:p>
            <w:pPr>
              <w:pStyle w:val="TableContents"/>
              <w:bidi w:val="0"/>
              <w:spacing w:before="0" w:after="283"/>
              <w:jc w:val="both"/>
              <w:rPr/>
            </w:pPr>
            <w:r>
              <w:rPr>
                <w:u w:val="single"/>
              </w:rPr>
              <w:t>Residency.</w:t>
            </w:r>
            <w:r>
              <w:rPr/>
              <w:t xml:space="preserve"> The residence or principal place of business of such Purchaser is as set forth under such Purchaser’s name on the signature pages attached hereto.</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(k)</w:t>
            </w:r>
          </w:p>
        </w:tc>
        <w:tc>
          <w:tcPr>
            <w:tcW w:w="9928" w:type="dxa"/>
            <w:tcBorders/>
            <w:vAlign w:val="center"/>
          </w:tcPr>
          <w:p>
            <w:pPr>
              <w:pStyle w:val="TableContents"/>
              <w:bidi w:val="0"/>
              <w:spacing w:before="0" w:after="283"/>
              <w:jc w:val="both"/>
              <w:rPr/>
            </w:pPr>
            <w:r>
              <w:rPr>
                <w:u w:val="single"/>
              </w:rPr>
              <w:t>Short Sales.</w:t>
            </w:r>
            <w:r>
              <w:rPr/>
              <w:t xml:space="preserve"> Such Purchaser represents and warrants that neither it nor any Affiliate acting on its behalf nor any Person acting pursuant to any understanding with such Purchaser has engaged in any Short Sales involving the Company’s securities prior to the public announcement of the Offering.</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(l)</w:t>
            </w:r>
          </w:p>
        </w:tc>
        <w:tc>
          <w:tcPr>
            <w:tcW w:w="9968" w:type="dxa"/>
            <w:tcBorders/>
            <w:vAlign w:val="center"/>
          </w:tcPr>
          <w:p>
            <w:pPr>
              <w:pStyle w:val="TableContents"/>
              <w:bidi w:val="0"/>
              <w:spacing w:before="0" w:after="283"/>
              <w:jc w:val="both"/>
              <w:rPr/>
            </w:pPr>
            <w:r>
              <w:rPr>
                <w:u w:val="single"/>
              </w:rPr>
              <w:t>No General Solicitation.</w:t>
            </w:r>
            <w:r>
              <w:rPr/>
              <w:t xml:space="preserve"> Such Purchaser did not learn of the Offering through any form of general solicitation or general advertising prohibited under the Securities Act.</w:t>
            </w:r>
          </w:p>
        </w:tc>
      </w:tr>
    </w:tbl>
    <w:p>
      <w:pPr>
        <w:pStyle w:val="TextBody"/>
        <w:bidi w:val="0"/>
        <w:spacing w:before="0" w:after="0"/>
        <w:ind w:left="880" w:right="0" w:hanging="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and warranties contained in this Section 3.2 shall not modify, amend or affect such Purchaser’s right to rely on the Company’s representations and warranties contained in this Agreement or any other Transaction Document. Notwithstanding the foregoing, nothing contained herein shall prohibit any Purchaser from engaging in customary securities lending, borrowing or hedging activities in compliance with applicable securities laws and Nasdaq rules following the public disclosure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AGREEMENTS OF THE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If all or any portion of a Warrant is exercised at a time when there is an effective registration statement to cover the issuance or resale of the Warrant Shares or if the Warrant is exercised via cashless exercise or zero exercise price option,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its reasonable efforts to keep a registration statement (including the Registration Statement) registering the issuance or resale of the Warrant Shares effective during the term of the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Until the earliest of the time that (i) no Purchaser owns Securities or (ii) the Warrants have expired, the Company covenants to use its reasonable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Report of Foreign Private Issuer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written consent of the Company, with respect to any press release of any Purchaser, or without the prior written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to the extent such disclosure is required by law or Trading Market regulations, in which case the Company shall provide the Purchasers with prior notice of such disclosure permitted pursuant to this sentence.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Report of Foreign Private Issuer on Form 6-K. The Company understands and confirms that each Purchaser shall be relying on the foregoing covenant in effecting transactions in securities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Ordinary Shares or Ordinary Shares Equivalents, (c) for the settlement of any outstanding litigation or (d) in violation of FCPA or OFAC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(including a Purchaser Party’s status as an investor), or any of them or their respective Affiliates, by the Company or any stockholder of the Company who is not an Affiliate of such Purchaser Party, arising out of or relating to any of the transactions contemplated by the Transaction Documents. For the avoidance of doubt, the indemnification provided herein is intended to, and shall also cover, direct claims brought by the Company against the Purchaser Parties; provided, however, that such indemnification shall not cover any loss, claim, damage or liability to the extent it is finally judicially determined to be attributable to any Purchaser Party’s breach of any of the representations, warranties, covenants or agreements made by such Purchaser Party in any Transaction Document or any conduct by a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Section 4.8 shall be made by periodic payments of the amount thereof during the course of the investigation, defense, collection, enforcement or action, as and when bills are received or are incurred; provided, that if any Purchaser Party is finally judicially determined not to be entitled to indemnification or payment under this Section 4.8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So long as any of the Warrants remain outstanding, the Company shall take all action necessary to at all times have authorized, and reserved from its duly authorized share capital, no less than the maximum number of Warrant Shares issuable upon exercise of the Warrants (without taking into account any limitations on the exercise of the Warrants set forth in the Warrants) not yet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Listing of Ordinary Shares</w:t>
      </w:r>
      <w:r>
        <w:rPr>
          <w:rFonts w:ascii="Times New Roman;Times;Serif" w:hAnsi="Times New Roman;Times;Serif"/>
          <w:b w:val="false"/>
          <w:i w:val="false"/>
          <w:caps w:val="false"/>
          <w:smallCaps w:val="false"/>
          <w:sz w:val="20"/>
        </w:rPr>
        <w:t>. The Company hereby agrees to use commercially reasonable efforts to maintain the listing or quotation of the Ordinary Shares on the Trading Market on which it is currently listed, and prior to the Closing, the Company shall apply to list or quote all of the Shares and Warrant Shares on such Trading Market and promptly secure the listing of all of the Shares and Warrant Shares on such Trading Market. The Company further agrees, if the Company applies to have the Ordinary Shares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Ordinary Shares on a Trading Market and will comply in all material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Participation Right</w:t>
      </w:r>
      <w:r>
        <w:rPr>
          <w:rFonts w:ascii="Times New Roman;Times;Serif" w:hAnsi="Times New Roman;Times;Serif"/>
          <w:b w:val="false"/>
          <w:i w:val="false"/>
          <w:caps w:val="false"/>
          <w:smallCaps w:val="false"/>
          <w:sz w:val="20"/>
        </w:rPr>
        <w:t>. Until the first anniversary of the Closing Date, neither the Company nor any of its Subsidiaries shall, directly or indirectly, effect any direct, or indirect, issuance, offer, sale, grant of any option or right to purchase, or otherwise disposal of any equity security or any equity equivalent security, any convertible securities, any debt, any preferred stock or any purchase rights (“Subsequent Placement”) unless the Company shall have first complied with this Section 4.11. The Company acknowledges and agrees that the right set forth in this Section 4.11 is a right granted by the Company, separately, to each Purchaser.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t>At least one Trading Day prior to any proposed or intended Subsequent Placement, the Company shall deliver to each Purchaser a written notice (each such notice, a “Pre-Notice”), which Pre-Notice shall not contain any information (including, without limitation, material, non-public information) other than: (A) if the proposed Offer Notice (as defined below) constitutes or contains material, non-public information, a statement asking whether such Purchaser is willing to accept material non-public information or (B) if the proposed Offer Notice does not constitute or contain material, non-public information, (x) a statement that the Company proposes or intends to effect a Subsequent Placement, (y) a statement that the statement in clause (x) above does not constitute material, non-public information and (z) a statement informing such Purchaser that it is entitled to receive an Offer Notice (as defined below) with respect to such Subsequent Placement upon its written request. Upon the written request of a Purchaser within one (1) Trading Day after the Company’s delivery to such Purchaser of such Pre-Notice, and only upon a written request by such Purchaser, the Company shall promptly, but no later than one (1) Trading Day after such request, deliver to such Purchaser an irrevocable written notice (the “Offer Notice”) of any proposed or intended issuance or sale or exchange (the “Offer”) of the securities being offered (the “Offered Securities”) in a Subsequent Placement,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to or exchange with such Purchaser in accordance with the terms of the Offer such Purchaser’s pro rata portion of 30% of the Offered Securities, provided that the number of Offered Securities which such Purchaser shall have the right to subscribe for under this Section 4.11 shall be (x) based on such Purchaser’s pro rata portion of the aggregate number of Shares purchased hereunder by all Purchasers (the “Basic Amount”), and (y) with respect to each Purchaser that elects to purchase its Basic Amount, any additional portion of the Offered Securities attributable to the Basic Amounts of other Purchasers as such Purchaser shall indicate it will purchase or acquire should the other Purchasers subscribe for less than their Basic Amounts (the “Undersubscription Amount”), which process shall be repeated until each Purchaser shall have an opportunity to subscribe for any remaining Undersubscription Amount.</w:t>
            </w:r>
          </w:p>
        </w:tc>
      </w:tr>
    </w:tbl>
    <w:p>
      <w:pPr>
        <w:pStyle w:val="TextBody"/>
        <w:bidi w:val="0"/>
        <w:spacing w:before="0" w:after="0"/>
        <w:ind w:left="880" w:right="0" w:hanging="40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9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665" w:type="dxa"/>
            <w:tcBorders/>
            <w:vAlign w:val="center"/>
          </w:tcPr>
          <w:p>
            <w:pPr>
              <w:pStyle w:val="TableContents"/>
              <w:bidi w:val="0"/>
              <w:spacing w:before="0" w:after="283"/>
              <w:jc w:val="both"/>
              <w:rPr/>
            </w:pPr>
            <w:r>
              <w:rPr/>
              <w:t>The restrictions contained in this Section 4.11 shall not apply in connection with the Exempt Issuance.</w:t>
            </w:r>
          </w:p>
        </w:tc>
      </w:tr>
    </w:tbl>
    <w:p>
      <w:pPr>
        <w:pStyle w:val="TextBody"/>
        <w:bidi w:val="0"/>
        <w:spacing w:before="0" w:after="0"/>
        <w:ind w:left="880" w:right="0" w:hanging="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t>Notwithstanding the foregoing, to the extent that the exercise of any Purchaser’s participation right set forth in this Section 4.11 would result in such Purchaser and the other Attribution Parties (as defined in the Warrant) exceeding the Maximum Percentage (as defined in the Warrant), then the Purchaser shall not be entitled to exercise such participation right to the extent of the Maximum Percentage (and shall not be entitled to beneficial ownership of such Class A Ordinary Shares as a result of such participation right to the extent of any such excess).</w:t>
            </w:r>
          </w:p>
        </w:tc>
      </w:tr>
    </w:tbl>
    <w:p>
      <w:pPr>
        <w:pStyle w:val="TextBody"/>
        <w:bidi w:val="0"/>
        <w:spacing w:before="0" w:after="0"/>
        <w:ind w:left="880" w:right="0" w:hanging="400"/>
        <w:jc w:val="both"/>
        <w:rPr>
          <w:caps w:val="false"/>
          <w:smallCaps w:val="false"/>
        </w:rPr>
      </w:pPr>
      <w:r>
        <w:rPr>
          <w:caps w:val="false"/>
          <w:smallCaps w:val="false"/>
        </w:rPr>
        <w:t> </w:t>
      </w:r>
    </w:p>
    <w:p>
      <w:pPr>
        <w:pStyle w:val="TextBody"/>
        <w:bidi w:val="0"/>
        <w:spacing w:before="0" w:after="0"/>
        <w:ind w:left="880" w:right="0" w:hanging="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880" w:right="0" w:hanging="40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Exercise Procedures</w:t>
      </w:r>
      <w:r>
        <w:rPr>
          <w:rFonts w:ascii="Times New Roman;Times;Serif" w:hAnsi="Times New Roman;Times;Serif"/>
          <w:b w:val="false"/>
          <w:i w:val="false"/>
          <w:caps w:val="false"/>
          <w:smallCaps w:val="false"/>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Securities may result in dilution of the outstanding Ordinary Shares,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be responsible for the payment of any placement agent’s fees, financial advisory fees, transfer agent fees, Depositary Fees, DTC fees or broker’s commissions (other than for Persons engaged by any Purchaser) relating to or arising out of the transactions contemplated hereby (including, without limitation, (x) any fees or commissions payable to the Placement Agents, who are the Company’s sole placement agents in connection with the transactions contemplated by this Agreement and (y) any fees required for same-day processing of any instruction letter delivered by the Company and any exercise notice delivered by a Purchaser, and any stamp taxes and other taxes and duties levied in connection with the delivery of any Securities to the Purchasers. The Company shall pay, and hold each Purchaser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6-K.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which purchased (a) if on or prior to the Closing Date, 100% or (b) if after the Closing Date, at least 50.1%, as applicable,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Agents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 xml:space="preserve">Survival. </w:t>
      </w:r>
      <w:r>
        <w:rPr>
          <w:rFonts w:ascii="Times New Roman;Times;Serif" w:hAnsi="Times New Roman;Times;Serif"/>
          <w:b w:val="false"/>
          <w:i w:val="false"/>
          <w:caps w:val="false"/>
          <w:smallCaps w:val="false"/>
          <w:sz w:val="20"/>
        </w:rPr>
        <w:t>The representations and warranties contained herein shall survive the Closing and the delivery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deliver Warrant Shares to a Purchaser upon exercise of any Warrants within the time period required under the applicable Warrant, such Purchaser shall have the right, by written notice to the Company, to rescind such exercise with respect to the undelivered Warrant Shares; provided, however, that such Purchaser shall concurrently return or cause to be returned to the Company any Warrant Shares previously delivered in connection with such rescinded exercise, if any, and the Company shall promptly restore such Purchaser’s right to acquire such Warrant Shares pursuant to the terms of the applicable Warrant. The rights set forth in this Section 5.13 shall be the sole and exclusive rescission rights of the Purchasers with respect to any exercise of the Warrants under the Transaction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val="false"/>
          <w:i w:val="false"/>
          <w:caps w:val="false"/>
          <w:smallCaps w:val="false"/>
          <w:sz w:val="20"/>
          <w:u w:val="single"/>
        </w:rPr>
        <w:t>Sales During Pre-Settlement Period</w:t>
      </w:r>
      <w:r>
        <w:rPr>
          <w:rFonts w:ascii="Times New Roman;Times;Serif" w:hAnsi="Times New Roman;Times;Serif"/>
          <w:b w:val="false"/>
          <w:i w:val="false"/>
          <w:caps w:val="false"/>
          <w:smallCaps w:val="false"/>
          <w:sz w:val="20"/>
        </w:rPr>
        <w:t>. Notwithstanding anything herein to the contrary, if at any time on or after the time of execution of this Agreement by the Company and an applicable Purchaser, through, and including the time immediately prior to the Closing (the “</w:t>
      </w:r>
      <w:r>
        <w:rPr>
          <w:rFonts w:ascii="Times New Roman;Times;Serif" w:hAnsi="Times New Roman;Times;Serif"/>
          <w:b w:val="false"/>
          <w:i w:val="false"/>
          <w:caps w:val="false"/>
          <w:smallCaps w:val="false"/>
          <w:sz w:val="20"/>
          <w:u w:val="single"/>
        </w:rPr>
        <w:t>Pre-Settlement Period</w:t>
      </w:r>
      <w:r>
        <w:rPr>
          <w:rFonts w:ascii="Times New Roman;Times;Serif" w:hAnsi="Times New Roman;Times;Serif"/>
          <w:b w:val="false"/>
          <w:i w:val="false"/>
          <w:caps w:val="false"/>
          <w:smallCaps w:val="false"/>
          <w:sz w:val="20"/>
        </w:rPr>
        <w:t>”), such Purchaser sells to any Person all, or any portion, of any Shares to be issued hereunder to such Purchaser at the Closing (collectively, the “</w:t>
      </w:r>
      <w:r>
        <w:rPr>
          <w:rFonts w:ascii="Times New Roman;Times;Serif" w:hAnsi="Times New Roman;Times;Serif"/>
          <w:b w:val="false"/>
          <w:i w:val="false"/>
          <w:caps w:val="false"/>
          <w:smallCaps w:val="false"/>
          <w:sz w:val="20"/>
          <w:u w:val="single"/>
        </w:rPr>
        <w:t>Pre-Settlement Shares</w:t>
      </w:r>
      <w:r>
        <w:rPr>
          <w:rFonts w:ascii="Times New Roman;Times;Serif" w:hAnsi="Times New Roman;Times;Serif"/>
          <w:b w:val="false"/>
          <w:i w:val="false"/>
          <w:caps w:val="false"/>
          <w:smallCaps w:val="false"/>
          <w:sz w:val="20"/>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to any Person and that any such decision to sell any Shares by such Purchaser shall be made, in the sole discretion of such Purchaser, at the time such Purchaser elects to effect any such sale,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400"/>
        <w:jc w:val="left"/>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1046"/>
        <w:gridCol w:w="2948"/>
        <w:gridCol w:w="75"/>
      </w:tblGrid>
      <w:tr>
        <w:trPr/>
        <w:tc>
          <w:tcPr>
            <w:tcW w:w="3994" w:type="dxa"/>
            <w:gridSpan w:val="2"/>
            <w:tcBorders/>
            <w:vAlign w:val="center"/>
          </w:tcPr>
          <w:p>
            <w:pPr>
              <w:pStyle w:val="TableContents"/>
              <w:bidi w:val="0"/>
              <w:spacing w:before="0" w:after="283"/>
              <w:jc w:val="left"/>
              <w:rPr>
                <w:b/>
              </w:rPr>
            </w:pPr>
            <w:r>
              <w:rPr>
                <w:b/>
              </w:rPr>
              <w:t>INTERCONT (CAYMAN) LIMITED</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6" w:type="dxa"/>
            <w:tcBorders/>
            <w:vAlign w:val="center"/>
          </w:tcPr>
          <w:p>
            <w:pPr>
              <w:pStyle w:val="TableContents"/>
              <w:bidi w:val="0"/>
              <w:spacing w:before="0" w:after="283"/>
              <w:jc w:val="left"/>
              <w:rPr/>
            </w:pPr>
            <w:r>
              <w:rPr/>
              <w:t>By:</w:t>
            </w:r>
          </w:p>
        </w:tc>
        <w:tc>
          <w:tcPr>
            <w:tcW w:w="294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 He Law Offices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1919, 630 Fifth Avenue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Lan Lou, Esq.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(917) 661-8175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 SIGNATURE PAGE FOR PURCHASER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INTERCONT (CAYMAN)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Included in the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Included in the Units Purchased: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PURCHASER SIGNATURE PAGES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are as disclosed in the SEC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29745401ex10-2.htm"/>
      <w:bookmarkStart w:id="7" w:name="ksea029745401ex102"/>
      <w:bookmarkEnd w:id="6"/>
      <w:bookmarkEnd w:id="7"/>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AGENCY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 Number Capital,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27F 12E 49th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(this “Agreement”) constitutes the agreement between Intercont (Cayman) Limited (the “Company,” “we” or “us”) and Prime Number Capital, LLC (the “Placement Agent”), pursuant to which the Placement Agent shall serve as the exclusive placement agent for the Company, on a best-efforts basis, in connection with the proposed offer and sale by the Company of up to 8,000,000 units (collectively, the “Units”, and each, a “Unit”), each consisting of one Class A Ordinary Share, par value $0.0025 per share (the “Class A Ordinary Shares”), and one warrant to purchase one Class A Ordinary Share (each, a “Warrant,” and collectively with the Units, the Class A Ordinary Shares included in the Units, and the Class A Ordinary Shares issuable upon exercise of the Warrants, the “Securities”). The public offering price of the Units is $0.79 per Unit. The Company expressly acknowledges and agrees that the Placement Agent’s obligations hereunder are on a best-efforts basis only and that the execution of this Agreement does not constitute a commitment by the Placement Agent to purchase the Securities or ensure the successful placement of the Securities or any portion thereof.</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Appointment as Exclusive Placement Agent.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representations, warranties, covenants and agreements of the Company herein contained, and subject to all the terms and conditions of this Agreement, the Company hereby appoints the Placement Agent as its exclusive placement agent in connection with the offering of the Securities (“Offering”) to be offered and sold by the Company pursuant to a registration statement filed under the Securities Act of 1933, as amended (the “Securities Act”), on Form F-1 (File No. 333-296585), and the Placement Agent agrees to act as the Company’s exclusive placement agent. Pursuant to this appointment, the Placement Agent will use its best efforts to arrange for the sale of the Securities by the Company. The Placement Agent is not purchasing or selling any of the Securities offered by the prospectus and is not required to arrange for the purchase or sale of any specific number or dollar amount of Securities. The Company acknowledges that under no circumstances will the Placement Agent be obligated to underwrite or purchase any Securities for its own account. The Placement Agent may engage sub-agents or selected dealers to assist with this Offering. The Placement Agent will solicit offers for the purchase of the Securities in the Offering at such times and in such amounts as the Placement Agent deems advisable. The Company shall have the sole right to accept offers to purchase Securities and may reject any such offer, in whole or in part. The Company and the Placement Agent shall negotiate the timing and terms of the Offering and acknowledge that the Offering and the provision of the services related to the Offering are subject to market conditions and the receipt of all required related clearances and approvals.</w:t>
      </w:r>
    </w:p>
    <w:p>
      <w:pPr>
        <w:pStyle w:val="TextBody"/>
        <w:bidi w:val="0"/>
        <w:spacing w:before="0" w:after="0"/>
        <w:ind w:left="720" w:right="0" w:hanging="72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Fees; Expenses; Other Arrangements.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Placement Agent’s Fee</w:t>
      </w:r>
      <w:r>
        <w:rPr>
          <w:rFonts w:ascii="Times New Roman;Times;Serif" w:hAnsi="Times New Roman;Times;Serif"/>
          <w:b w:val="false"/>
          <w:i w:val="false"/>
          <w:caps w:val="false"/>
          <w:smallCaps w:val="false"/>
          <w:sz w:val="20"/>
        </w:rPr>
        <w:t>. As compensation for services rendered, the Company shall pay to the Placement Agent in cash by wire transfer in immediately available funds to an account designated by the Placement Agent an amount equal to five percent (5.0%) of the aggregate gross proceeds raised in this Offering (the “Placement Fee”), together with a non-accountable expense allowance equal to one percent (1.0%) of the gross proceeds received by the Company from this Offering. The Placement Agent may deduct from the net proceeds of this Offering payable to the Company on the Closing Date the Placement Fee and non-accountable expense allowance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Offering Expenses</w:t>
      </w:r>
      <w:r>
        <w:rPr>
          <w:rFonts w:ascii="Times New Roman;Times;Serif" w:hAnsi="Times New Roman;Times;Serif"/>
          <w:b w:val="false"/>
          <w:i w:val="false"/>
          <w:caps w:val="false"/>
          <w:smallCaps w:val="false"/>
          <w:sz w:val="20"/>
        </w:rPr>
        <w:t>. The Company will be responsible for and will pay all expenses relating to the Offering, including, without limitation, (a) all filing fees and expenses relating to the registration of the Securities with the Commission; (b) all FINRA filing fees; (c) all fees and expenses relating to the listing on the Nasdaq Capital Market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(d) the costs of all mailing and printing of the documents related to the Offering; (e) transfer and/or stamp taxes, if any, payable upon the transfer of Securities from the Company to Investors; (f) the fees and expenses of the Company’s accountants; (g) all the Placement Agent’s travel expenses and due diligence expenses; and (h) the legal fees of the Placement Agent’s counsel; provided that the aggregate amount of reimbursable expenses set forth in subsections (g)-(h) shall not exceed $100,000. The Placement Agent may deduct from the net proceeds of the Offering payable to the Company on the Closing Date the expenses set forth herein to be paid by the Company to the Placement Agent, provided, however, that in the event that the Offering is terminated, the Company agrees to reimburse the Placement Agent to the extent required by Section 5 hereof promptly after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Right of First Refusal</w:t>
      </w:r>
      <w:r>
        <w:rPr>
          <w:rFonts w:ascii="Times New Roman;Times;Serif" w:hAnsi="Times New Roman;Times;Serif"/>
          <w:b w:val="false"/>
          <w:i w:val="false"/>
          <w:caps w:val="false"/>
          <w:smallCaps w:val="false"/>
          <w:sz w:val="20"/>
        </w:rPr>
        <w:t>. For a period of six (6) months following the Closing Date of this Offering, the Placement Agent shall have an irrevocable right of first refusal to act as lead book-running manager, lead placement agent or lead financial advisor, as applicable, with respect to at least eighty percent (80%) of the economics for any public or private offering of equity, equity-linked or debt securities, or any other financing or capital-raising transaction by the Company or any of its subsidiaries, subject to compliance with FINRA Rule 5110(g)(5)(B).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Tail Financing.</w:t>
      </w:r>
      <w:r>
        <w:rPr>
          <w:rFonts w:ascii="Times New Roman;Times;Serif" w:hAnsi="Times New Roman;Times;Serif"/>
          <w:b w:val="false"/>
          <w:i w:val="false"/>
          <w:caps w:val="false"/>
          <w:smallCaps w:val="false"/>
          <w:sz w:val="20"/>
        </w:rPr>
        <w:t xml:space="preserve"> If, within six (6) months after the termination or expiration of the Placement Agent’s engagement, the Company consummates any public or private offering of securities or other financing or capital-raising transaction with any investor that was introduced to the Company by the Placement Agent or “wall-crossed” by the Placement Agent during the term of the engagement, the Placement Agent will be entitled to receive the applicable placement agent fee with respect to the gross proceeds received by the Company from such investor in such transaction, subject to compliance with FINRA Rule 5110(g)(5)(B).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services provided by the Placement Agent hereunder are solely for the benefit of the Company and are not intended to confer any rights upon any persons or entities not a party hereto (including, without limitation, securityholders, employees or creditors of the Company) as against the Placement Agent or its directors, officers, agents and employees.</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Description of the Offering.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to be offered directly to various investors (each, an “Investor” or “Purchaser” and, collectively, the “Investors” or the “Purchasers”) pursuant to a Securities Purchase Agreement between the Company and each Investor shall consist of up to 8,000,000 Units, with each Unit consisting of one Class A Ordinary Share and one Warrant. The Company is also registering up to 16,000,000] Class A Ordinary Shares issuable upon exercise of the Warrants at a zero exercise price. The Units have no stand-alone rights and will not be certificated or issued as stand-alone securities. The Class A Ordinary Shares can each be purchased in this Offering only with the accompanying Warrants as part of the Units, but the component parts of the Units will be immediately separable and issued separately in this Offering.</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Delivery and Payment; Closing.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the Class A Ordinary Shares and Warrants included in the Units to the Investors upon closing and receipt of investor funds for the purchase of the Securities offered pursuant to the prospectus. There is no arrangement for funds to be received in escrow, trust or similar arrangement. The Company intends to complete one closing of this Offering, and the Offering will terminate upon the completion of a single closing. Settlement of the Securities purchased by an Investor shall be made as set forth in the Securities Purchase Agreement. On the Closing Date, the Securities to which the Closing relates shall be delivered through such means as the parties to the Securities Purchase Agreement may hereafter agree. The Securities shall be registered in such name or names and in such authorized denominations as set forth in the Securities Purchase Agreement. The term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a Sunday, a legal holiday or a day on which banking institutions are authorized or obligated by law to close in New York, New York.</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Term and Termination of Agreement. </w:t>
            </w:r>
          </w:p>
        </w:tc>
      </w:tr>
    </w:tbl>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The term of this Agreement will commence upon the execution of this Agreement and will terminate upon the completion of the closing of the Offering or earlier termination of the engagement in accordance with this Agreement. Notwithstanding anything to the contrary contained herein, any provision in this Agreement concerning or relating to confidentiality, indemnification, contribution, advancement, the Company’s representations and warranties, the Company’s obligations to pay fees and reimburse expenses, and any other provisions that by their terms survive, will survive any expiration or termination of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Permitted Acts.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Agreement shall be construed to limit the ability of the Placement Agent, its officers, directors, employees, agents, associated persons and any individual or entity “controlling,” “controlled by,” or “under common control” with the Placement Agent (as those terms are defined in Rule 405 under the Securities Act) to conduct its business including without limitation the ability to pursue, investigate, analyze, invest in, or engage in investment banking, financial advisory or any other business relationship with any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Representations, Warranties and Covenants of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and time of the execution of this Agreement, the Closing Date and the Initial Sale Time (as defined herein), the Company (i) makes such representations and warranties to the Placement Agent as the Company makes to the Investors pursuant to the Securities Purchase Agreement, and (ii) further represents, warrants and covenants to the Placement Agent, other than as disclosed in Prospectus (as defined below) or in any of its filings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that are incorporated by reference into the Registration Statement (as defined below),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Registration Matters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filed with the Commission a registration statement on Form F-1 (File No. 333-296585) including a related prospectus, for the registration of Units, the Class A Ordinary Shares included in the Units, the Warrants and the Class A Ordinary Shares issuable upon exercise of the Warrants under the Securities Act and the rules and regulations thereunder (the “</w:t>
      </w:r>
      <w:r>
        <w:rPr>
          <w:rFonts w:ascii="Times New Roman;Times;Serif" w:hAnsi="Times New Roman;Times;Serif"/>
          <w:b w:val="false"/>
          <w:i w:val="false"/>
          <w:caps w:val="false"/>
          <w:smallCaps w:val="false"/>
          <w:sz w:val="20"/>
          <w:u w:val="single"/>
        </w:rPr>
        <w:t>Securities Act Regulations</w:t>
      </w:r>
      <w:r>
        <w:rPr>
          <w:rFonts w:ascii="Times New Roman;Times;Serif" w:hAnsi="Times New Roman;Times;Serif"/>
          <w:b w:val="false"/>
          <w:i w:val="false"/>
          <w:caps w:val="false"/>
          <w:smallCaps w:val="false"/>
          <w:sz w:val="20"/>
        </w:rPr>
        <w:t>”). The “Registration Statement,” as of any time, means such registration statement as amended by any post-effective amendments thereto at such time, including the exhibits and any schedules thereto at such time. The prospectus set forth in the Registration Statement in the form first used to confirm sales of the Securities is hereinafter referred to as the “Prospectus,” and the term “Preliminary Prospectus” means any preliminary form of the Prospectus specifically related to the Securities filed with the Commission by the Company with the consent of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references in this Agreement to financial statements and schedules and other information which is “contained,” “included” or “stated” (or other references of like import) in the Registration Statement, any Preliminary Prospectus or the Prospectus shall be deemed to include all such financial statements and schedules and other information incorporated or deemed incorporated by reference in the Registration Statement, such Preliminary Prospectus or the Prospectus, as the case may be, prior to the execution and delivery of this Agreement; and all references in this Agreement to amendments or supplements to the Registration Statement, any Preliminary Prospectus or the Prospectus shall be deemed to include the filing of any document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thereunder (the “</w:t>
      </w:r>
      <w:r>
        <w:rPr>
          <w:rFonts w:ascii="Times New Roman;Times;Serif" w:hAnsi="Times New Roman;Times;Serif"/>
          <w:b w:val="false"/>
          <w:i w:val="false"/>
          <w:caps w:val="false"/>
          <w:smallCaps w:val="false"/>
          <w:sz w:val="20"/>
          <w:u w:val="single"/>
        </w:rPr>
        <w:t>Exchange Act Regulations</w:t>
      </w:r>
      <w:r>
        <w:rPr>
          <w:rFonts w:ascii="Times New Roman;Times;Serif" w:hAnsi="Times New Roman;Times;Serif"/>
          <w:b w:val="false"/>
          <w:i w:val="false"/>
          <w:caps w:val="false"/>
          <w:smallCaps w:val="false"/>
          <w:sz w:val="20"/>
        </w:rPr>
        <w:t>”), incorporated or deemed to be incorporated by reference in the Registration Statement, such Preliminary Prospectus or the Prospectus, as the case may be, at or after the execution and delivery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term “</w:t>
      </w:r>
      <w:r>
        <w:rPr>
          <w:rFonts w:ascii="Times New Roman;Times;Serif" w:hAnsi="Times New Roman;Times;Serif"/>
          <w:b w:val="false"/>
          <w:i w:val="false"/>
          <w:caps w:val="false"/>
          <w:smallCaps w:val="false"/>
          <w:sz w:val="20"/>
          <w:u w:val="single"/>
        </w:rPr>
        <w:t>Disclosure Package</w:t>
      </w:r>
      <w:r>
        <w:rPr>
          <w:rFonts w:ascii="Times New Roman;Times;Serif" w:hAnsi="Times New Roman;Times;Serif"/>
          <w:b w:val="false"/>
          <w:i w:val="false"/>
          <w:caps w:val="false"/>
          <w:smallCaps w:val="false"/>
          <w:sz w:val="20"/>
        </w:rPr>
        <w:t>” means (i) the Preliminary Prospectus, as most recently amended or supplemented immediately prior to the Initial Sale Time (as defined herein), and (ii) the Issuer Free Writing Prospectuses (as defined below), if any, identified in Schedule I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term “</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of the Securities Act Regulations. The term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means any free writing prospectus, as defined in Rule 405 of the Securities Act Regulations.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Preliminary Prospectus when filed with the Commission, and the Registration Statement as of each effective date and as of the date hereof, complied or will comply, and the Prospectus and any further amendments or supplements to the Registration Statement, any Preliminary Prospectus or the Prospectus will, when they become effective or are filed with the Commission, as the case may be, comply, in all material respects, with the requirements of the Securities Act and the Securities Act Regulations; and the documents incorporated by reference in the Registration Statement, any Preliminary Prospectus or the Prospectus complied, and any further documents so incorporated will comply, when filed with the Commission, in all material respects to the requirements of the Exchange Act and Exchange Act Regulations.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issuance by the Company of the Securities has been registered under the Securities Act. The Securities will be issued pursuant to the Registration Statement and will be freely transferable and freely tradable by each of the Investors without restriction, unless otherwise restricted by applicable law or regulation. The Company is eligible to use Form F-1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Stock Exchange Listing. The Class A Ordinary Shares are listed on The Nasdaq Capital Market under the symbol “NCT.” There is no established public trading market for the Warrants, and the Company does not intend to list the Warrants on The Nasdaq Capital Market or any other securities exchange or trading market. The Company is also registering the Class A Ordinary Shares issuable upon exercise of the Warrants and anticipates that such Class A Ordinary Shares will trade on The Nasdaq Capital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Stop Orders, etc</w:t>
      </w:r>
      <w:r>
        <w:rPr>
          <w:rFonts w:ascii="Times New Roman;Times;Serif" w:hAnsi="Times New Roman;Times;Serif"/>
          <w:b w:val="false"/>
          <w:i w:val="false"/>
          <w:caps w:val="false"/>
          <w:smallCaps w:val="false"/>
          <w:sz w:val="20"/>
        </w:rPr>
        <w:t>. Neither the Commission nor, to the Company’s knowledge,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Disclosures in Registration Statement</w:t>
      </w:r>
      <w:r>
        <w:rPr>
          <w:rFonts w:ascii="Times New Roman;Times;Serif" w:hAnsi="Times New Roman;Times;Serif"/>
          <w:b w:val="false"/>
          <w:i w:val="false"/>
          <w:caps w:val="false"/>
          <w:smallCaps w:val="false"/>
          <w:sz w:val="20"/>
        </w:rPr>
        <w:t>.</w:t>
      </w:r>
    </w:p>
    <w:p>
      <w:pPr>
        <w:pStyle w:val="TextBody"/>
        <w:bidi w:val="0"/>
        <w:spacing w:before="0" w:after="0"/>
        <w:ind w:left="1620" w:right="0" w:hanging="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 xml:space="preserve">Compliance with Securities Act and 10b-5 Representation.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Registration Statement and any post-effective amendment thereto, at the time it became effective, complied in all material respects with the requirements of the Securities Act and the Securities Act Regulations. The Preliminary Prospectus and the Prospectus, at the time each was or will be filed with the Commission, complied or will comply in all material respects with the requirements of the Securities Act and the Securities Act Regulations. The Preliminary Prospectus delivered to the Placement Agent for use in connection with this Offering and the Prospectus was or will be identical to the electronically transmitted copies thereof filed with the Commission pursuant to EDGAR, except to the extent permitted by Regulation S-T.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 of the Registration Statement, any amendment thereto, or the Preliminary Prospectus, as of 11:00 p.m. (Eastern time) on the date hereof (the “</w:t>
      </w:r>
      <w:r>
        <w:rPr>
          <w:rFonts w:ascii="Times New Roman;Times;Serif" w:hAnsi="Times New Roman;Times;Serif"/>
          <w:b w:val="false"/>
          <w:i w:val="false"/>
          <w:caps w:val="false"/>
          <w:smallCaps w:val="false"/>
          <w:sz w:val="20"/>
          <w:u w:val="single"/>
        </w:rPr>
        <w:t>Initial Sale Time</w:t>
      </w:r>
      <w:r>
        <w:rPr>
          <w:rFonts w:ascii="Times New Roman;Times;Serif" w:hAnsi="Times New Roman;Times;Serif"/>
          <w:b w:val="false"/>
          <w:i w:val="false"/>
          <w:caps w:val="false"/>
          <w:smallCaps w:val="false"/>
          <w:sz w:val="20"/>
        </w:rPr>
        <w:t>”), and at the Closing Date, contained, contains or will contain an untrue statement of a material fact or omitted, omits or will omit to state a material fact required to be stated therein or necessary to make the statements therein not misleading; provided, however, that this representation and warranty shall not apply to statements made or statements omitted in reliance upon and in conformity with written information furnished to the Company with respect to the Placement Agent by the Placement Agent expressly for use in the Registration Statement or any amendment thereof or supplement thereto. The parties acknowledge and agree that such information provided by or on behalf of the Placement Agent consists solely of the following disclosure contained in the “Plan of Distribution” section of the Prospectus: (i) the name of the Placement Agent, and (ii) the information regarding its fees and expenses (the “</w:t>
      </w:r>
      <w:r>
        <w:rPr>
          <w:rFonts w:ascii="Times New Roman;Times;Serif" w:hAnsi="Times New Roman;Times;Serif"/>
          <w:b w:val="false"/>
          <w:i w:val="false"/>
          <w:caps w:val="false"/>
          <w:smallCaps w:val="false"/>
          <w:sz w:val="20"/>
          <w:u w:val="single"/>
        </w:rPr>
        <w:t>Placement Agent’s Information</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Disclosure Package, as of the Initial Sale Time and at the Closing Date, did not, does not and will not include an untrue statement of a material fact or omit to state a material fact necessary in order to make the statements therein, in the light of the circumstances under which they were made, not misleading; and each Issuer Free Writing Prospectus does not conflict with the information contained in the Registration Statement, any Preliminary Prospectus, or the Prospectus, and each such Issuer Free Writing Prospectus, as supplemented by and taken together with the Preliminary Prospectus as of the Initial Sale Time, did not include an untrue statement of a material fact or omit to state a material fact necessary in order to make the statements therein, in light of the circumstances under which they were made, not misleading; provided, however, that this representation and warranty shall not apply to statements made or statements omitted in reliance upon and in conformity with written information furnished to the Company with respect to the Placement Agent by the Placement Agent expressly for use in the Registration Statement, the Preliminary Prospectus or the Prospectus or any amendment thereof or supplement thereto. The parties acknowledge and agree that such information provided by or on behalf of any Placement Agent consists solely of the Placement Agent’s Information;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Prospectus nor any amendment or supplement thereto, as of its issue date, at the time of any filing with the Commission pursuant to Rule 424(b), or at the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the Placement Agent’s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Disclosure of Agreements</w:t>
      </w:r>
      <w:r>
        <w:rPr>
          <w:rFonts w:ascii="Times New Roman;Times;Serif" w:hAnsi="Times New Roman;Times;Serif"/>
          <w:b w:val="false"/>
          <w:i w:val="false"/>
          <w:caps w:val="false"/>
          <w:smallCaps w:val="false"/>
          <w:sz w:val="20"/>
        </w:rPr>
        <w:t>. The agreements and documents described in the Registration Statement, the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Disclosure Package and the Prospectus, and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except as disclosed in the Registration Statement, the Disclosure Package and the Prospectus.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Changes After Dates in Registration Statement.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Since the respective dates as of which information is given in the Registration Statement, the Disclosure Package and the Prospectus, except as otherwise specifically stated therein: (i) there has been no material adverse change in the financial position or results of operations of the Company, nor any change or development that, singularly or in the aggregate, would involve a material adverse change, in or affecting the condition (financial or otherwise), results of operations, business, assets or prospects of the Company (a “</w:t>
      </w: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 (ii) there have been no material transactions entered into by the Company, other than as contemplated pursuant to this Agreement; and (iii) no officer or director of the Company has resigned from any position with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Recent Securities Transactions, etc</w:t>
      </w:r>
      <w:r>
        <w:rPr>
          <w:rFonts w:ascii="Times New Roman;Times;Serif" w:hAnsi="Times New Roman;Times;Serif"/>
          <w:b w:val="false"/>
          <w:i w:val="false"/>
          <w:caps w:val="false"/>
          <w:smallCaps w:val="false"/>
          <w:sz w:val="20"/>
        </w:rPr>
        <w:t>. Subsequent to the respective dates as of which information is given in the Registration Statement, the Disclosure Package and the Prospectus, and except as may otherwise be indicated or contemplated herein or disclosed in the Registration Statement, the Disclosure Package and the Prospectus, the Company has not: (i) issued any securities (other than (i) grants under any share compensation plan and (ii) Ordinary Shares issued upon the exercise or conversion of option, warrants or convertible securities described in the Registration Statement, the Disclosure Package and the Prospectus) or incurred any liability or obligation, direct or contingent, for borrowed money; or (ii) declared or paid any dividend or made any other distribution on or in respect to its capital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Transactions Affecting Disclosure to FINRA</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There are no claims, payments, arrangements, agreements or understandings relating to the payment of a finder’s, consulting or origination fee by the Company or any executive officer or director of the Company with respect to the sale of the Securities hereunder or any other arrangements, agreements or understandings of the Company or, to the Company’s knowledge, any of its stockholders.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Payments Within Twelve (12) Months</w:t>
      </w:r>
      <w:r>
        <w:rPr>
          <w:rFonts w:ascii="Times New Roman;Times;Serif" w:hAnsi="Times New Roman;Times;Serif"/>
          <w:b w:val="false"/>
          <w:i w:val="false"/>
          <w:caps w:val="false"/>
          <w:smallCaps w:val="false"/>
          <w:sz w:val="20"/>
        </w:rPr>
        <w:t>. Except as disclosed in the Registration Statement, the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date hereof, other than the payment to the Placement Agent as provided hereunder in connection with the Offering.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None of the net proceeds of the Offering will be paid by the Company to any participating FINRA member or its affiliates, except as specifically authorized 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FINRA Affiliation</w:t>
      </w:r>
      <w:r>
        <w:rPr>
          <w:rFonts w:ascii="Times New Roman;Times;Serif" w:hAnsi="Times New Roman;Times;Serif"/>
          <w:b w:val="false"/>
          <w:i w:val="false"/>
          <w:caps w:val="false"/>
          <w:smallCaps w:val="false"/>
          <w:sz w:val="20"/>
        </w:rPr>
        <w:t>. There is no (i) officer or director of the Company, (ii) to the Company’s knowledge, beneficial owner of 10% or more of any class of the Company’s securities or (iii) to the Company’s knowledge, beneficial owner of the Company’s unregistered equity securities which were acquired during the 180-day period immediately preceding the submission of the confidential Registration Statement that is an affiliate or associated person of a FINRA member participating in the Offering (as determined in accordance with the rules and regulations of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Restriction on Sales of Capital Stock</w:t>
      </w:r>
      <w:r>
        <w:rPr>
          <w:rFonts w:ascii="Times New Roman;Times;Serif" w:hAnsi="Times New Roman;Times;Serif"/>
          <w:b w:val="false"/>
          <w:i w:val="false"/>
          <w:caps w:val="false"/>
          <w:smallCaps w:val="false"/>
          <w:sz w:val="20"/>
        </w:rPr>
        <w:t>. The Company, on behalf of itself and any successor entity, agrees that, for a period of four (4) months following the Closing Date of this Offering, it will not, directly or indirectly issue, offer, sell, contract to sell, grant any option to purchase, or otherwise dispose of any Class A Ordinary Shares or any securities convertible into, exercisable for, or exchangeable for Class A Ordinary Shares, other than securities issued pursuant to (i) a registration statement on Form S-8 or (ii) a shelf registration statement on Form F-3 with the prior written consent of the Placement Agent. The Company also agrees that, during the same four (4) month period, it will not enter into or consummate any financing or capital-raising transaction, including any equity line of credit, equity financing, convertible bond, convertible note, other equity-linked financing, or variable rate transaction, without the prior written consent of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In connection with this Offering, each of Company’s officers, directors and certain holders of the Company’s share capital as set forth on Schedule II attached hereto (the “Restricted Holders”) shall deliver to the Placement Agent an executed lock-up agreement, mutually agreed upon by the Company and the Placement Agent and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Lock-Up Agreement</w:t>
      </w:r>
      <w:r>
        <w:rPr>
          <w:rFonts w:ascii="Times New Roman;Times;Serif" w:hAnsi="Times New Roman;Times;Serif"/>
          <w:b w:val="false"/>
          <w:i w:val="false"/>
          <w:caps w:val="false"/>
          <w:smallCaps w:val="false"/>
          <w:sz w:val="20"/>
        </w:rPr>
        <w:t>”). Pursuant to such lock-up agreements, such parties will agree, subject to customary exceptions, not to offer, sell, contract to sell, pledge, grant any option to purchase, make any short sale of, or otherwise transfer or dispose of, directly or indirectly, any Class A Ordinary Shares or any securities convertible into, exercisable for, or exchangeable for Class A Ordinary Shares, for a period of 180 days following the Closing Date of this Offering.</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Conditions of the Obligations of the Placement Agent.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Placement Agent hereunder shall be subject to the accuracy of the representations and warranties on the part of the Company set forth in Section 7 hereof, in each case as of the date hereof and as of the Closing Date as though then made, to the timely performance by each of the Company of its covenants and other obligations hereunder on and as of such dates, and to each of the following additional conditions: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Effectiveness of Registration Statement; Rule 424 Information</w:t>
      </w:r>
      <w:r>
        <w:rPr>
          <w:rFonts w:ascii="Times New Roman;Times;Serif" w:hAnsi="Times New Roman;Times;Serif"/>
          <w:b w:val="false"/>
          <w:i w:val="false"/>
          <w:caps w:val="false"/>
          <w:smallCaps w:val="false"/>
          <w:sz w:val="20"/>
        </w:rPr>
        <w:t>. The Registration Statement is effective on the date of this Agreement, and, on the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All filings with the Commission required by Rule 424 under the Securities Act to have been filed by the Closing Date shall have been made within the applicable time period prescribed for such filing by Rule 424.</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FINRA Clearance</w:t>
      </w:r>
      <w:r>
        <w:rPr>
          <w:rFonts w:ascii="Times New Roman;Times;Serif" w:hAnsi="Times New Roman;Times;Serif"/>
          <w:b w:val="false"/>
          <w:i w:val="false"/>
          <w:caps w:val="false"/>
          <w:smallCaps w:val="false"/>
          <w:sz w:val="20"/>
        </w:rPr>
        <w:t>. On or before the Closing Date, the Placement Agent shall have received clearance from FINRA as to the amount of compensation allowable or payable to the Placement Agent as described in the Registration Statement.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Listing of Additional Shares</w:t>
      </w:r>
      <w:r>
        <w:rPr>
          <w:rFonts w:ascii="Times New Roman;Times;Serif" w:hAnsi="Times New Roman;Times;Serif"/>
          <w:b w:val="false"/>
          <w:i w:val="false"/>
          <w:caps w:val="false"/>
          <w:smallCaps w:val="false"/>
          <w:sz w:val="20"/>
        </w:rPr>
        <w:t>. On or before the Closing Date, the Company shall have filed a notice with the Exchange with respect to the Company’s additional listing of the securities sold in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Company Counsel Matters</w:t>
      </w:r>
      <w:r>
        <w:rPr>
          <w:rFonts w:ascii="Times New Roman;Times;Serif" w:hAnsi="Times New Roman;Times;Serif"/>
          <w:b w:val="false"/>
          <w:i w:val="false"/>
          <w:caps w:val="false"/>
          <w:smallCaps w:val="false"/>
          <w:sz w:val="20"/>
        </w:rPr>
        <w:t>. On the Closing Date, the Placement Agent shall have received the favorable opinion and negative assurance letter of Jun He Law Offices LLC, U.S. counsel for the Company; Quality Law Services Ltd, Cayman Islands counsel for the Company; Lawrence Chan &amp; Co, Hong Kong counsel for the Company, or of other counsels reasonably satisfactory to the Placement Agent, in each case dated the Closing Date and addressed to the Placement Agent, and in each case substantially in form and substance reasonably satisfactory to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 xml:space="preserve">Intentionally deleted.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On the Closing Date, the Placement Agent shall have received a certificate of the chief executive officer and chief financial officer of the Company, dated the Closing Date, to the effect that, (i) such officers have carefully examined the Registration Statement, the Disclosure Package, any Issuer Free Writing Prospectus and the Prospectus and, in their opinion, the Registration Statement and each amendment thereto, as of the Initial Sale Time and through the Closing Date did not include any untrue statement of a material fact and did not omit to state a material fact required to be stated therein or necessary to make the statements therein not misleading, and the Disclosure Package, as of the Initial Sale Time through the Closing Date, any Issuer Free Writing Prospectus as of its date and as of the Closing Date, the Prospectus and each amendment or supplement thereto, as of the respective date thereof and as of the Closing Date, did not include any untrue statement of a material fact and did not omit to state a material fact necessary in order to make the statements therein, in the light of the circumstances in which they were made, not misleading; and (ii) as of the Closing Date the representations and warranties of the Company contained herein and in the Securities Purchase Agreement were and are accurate in all material respects, and that the obligations to be performed by the Company hereunder have been fully performed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the Closing Date, the Placement Agent shall have received from the Company a certificate of the corporate secretary of the Company, dated the Closing Date, certifying to the organizational documents of the Company, good standing in the jurisdiction of formation of the Company and board resolutions authorizing the Offering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Intentionally deleted.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Material Changes</w:t>
      </w:r>
      <w:r>
        <w:rPr>
          <w:rFonts w:ascii="Times New Roman;Times;Serif" w:hAnsi="Times New Roman;Times;Serif"/>
          <w:b w:val="false"/>
          <w:i w:val="false"/>
          <w:caps w:val="false"/>
          <w:smallCaps w:val="false"/>
          <w:sz w:val="20"/>
        </w:rPr>
        <w:t>. Prior to and on the Closing Date: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Disclosure Package and the Prospectus; (ii) no action, suit or proceeding, at law or in equity, shall have been pending or threatened against the Company or any affiliates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Disclosure Package and the Prospectus; (iii) no stop order shall have been issued under the Securities Act and no proceedings therefor shall have been initiated or threatened by the Commission; and (iv) the Registration Statement, the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Disclosure Package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Delivery of Agreements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On or before the Closing Date, the Company shall have delivered to the Placement Agent executed copies of the Lock-Up Agreement from each of the Company’s officers, directors and the Restricted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At the Closing Date, Placement Agent’s counsel shall have been furnished with such documents and opinions as it may require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Placement Agent and Placement Agent’s counsel.</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3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 and Contribution; Procedures.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of the Placement Agent</w:t>
      </w:r>
      <w:r>
        <w:rPr>
          <w:rFonts w:ascii="Times New Roman;Times;Serif" w:hAnsi="Times New Roman;Times;Serif"/>
          <w:b w:val="false"/>
          <w:i w:val="false"/>
          <w:caps w:val="false"/>
          <w:smallCaps w:val="false"/>
          <w:sz w:val="20"/>
        </w:rPr>
        <w:t>. The Company agrees to indemnify and hold harmless the Placement Agent, its affiliates and each person controlling such Placement Agent (within the meaning of Section 15 of the Securities Act), and the directors, officers, agents and employees of the Placement Agent, its affiliates and each such controlling person (the Placement Agent, and each such entity or person hereafter is referred to as an “</w:t>
      </w:r>
      <w:r>
        <w:rPr>
          <w:rFonts w:ascii="Times New Roman;Times;Serif" w:hAnsi="Times New Roman;Times;Serif"/>
          <w:b w:val="false"/>
          <w:i w:val="false"/>
          <w:caps w:val="false"/>
          <w:smallCaps w:val="false"/>
          <w:sz w:val="20"/>
          <w:u w:val="single"/>
        </w:rPr>
        <w:t>Indemnified Person</w:t>
      </w:r>
      <w:r>
        <w:rPr>
          <w:rFonts w:ascii="Times New Roman;Times;Serif" w:hAnsi="Times New Roman;Times;Serif"/>
          <w:b w:val="false"/>
          <w:i w:val="false"/>
          <w:caps w:val="false"/>
          <w:smallCaps w:val="false"/>
          <w:sz w:val="20"/>
        </w:rPr>
        <w:t>”) from and against any losses, claims, damages, judgments, assessments, costs and other liabilities (collectively, the “</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and shall reimburse each Indemnified Person for all fees and expenses (including the reasonable fees and expenses of counsel for the Indemnified Persons, except as otherwise expressly provided in this Agreement) (collectively, the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and agrees to advance payment of such Expenses as they are incurred by an Indemnified Person in investigating, preparing, pursuing or defending any actions, whether or not any Indemnified Person is a party thereto, arising out of or based upon any untrue statement or alleged untrue statement of a material fact contained in (i) the Registration Statement, the Disclosure Package, the Preliminary Prospectus, the Prospectus or in any Issuer Free Writing Prospectus (as from time to time each may be amended and supplemented); (ii) any materials or information provided to Investors by, or with the approval of, the Company in connection with the marketing of the Offering, including any “road show” or investor presentations made to Investors by the Company (whether in person or electronically); or (iii) any application or other document or written communication (in this Section 9, collectively called “application”) executed by the Company or based upon written information furnished by the Company in any jurisdiction in order to qualify the Securities under the securities laws thereof or filed with the Commission, any state securities commission or agency, any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Placement Agent’s information. The Company also agrees to reimburse each Indemnified Person for all Expenses as they are incurred in connection with such Indemnified Person’s enforcement of his or its rights under this Agreement. Each Indemnified Person is an intended third party beneficiary with the same rights to enforce the indemnification that each Indemnified Person would have if he was a party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Upon receipt by an Indemnified Person of actual notice of an action against such Indemnified Person with respect to which indemnity may reasonably be expected to be sought under this Agreement, such Indemnified Person shall promptly notify the Company in writing; provided that failure by any Indemnified Person so to notify the Company shall not relieve the Company from any obligation or liability which the Company may have on account of this Section 9 or otherwise to such Indemnified Person, except to the extent (and only to the extent) that its ability to assume the defense of any such action (as contemplated in the next sentence) is actually impaired by such failure or delay. The Company shall, if requested by the Placement Agent, assume the defense of any such action (including the employment of counsel reasonably satisfactory to the Placement Agent).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for the benefit of the Placement Agent and the other Indemnified Persons or (ii) such Indemnified Person shall have been advised that in the opinion of counsel that there is an actual or potential conflict of interest that prevents (or makes it imprudent for) the counsel engaged by the Company for the purpose of representing the Indemnified Person, to represent both such Indemnified Person and any other person represented or proposed to be represented by such counsel, it being understood, however, that the Company shall not be liable for the expenses of more than one </w:t>
      </w:r>
      <w:r>
        <w:rPr>
          <w:rFonts w:ascii="Times New Roman;Times;Serif" w:hAnsi="Times New Roman;Times;Serif"/>
          <w:b w:val="false"/>
          <w:i w:val="false"/>
          <w:caps w:val="false"/>
          <w:smallCaps w:val="false"/>
          <w:sz w:val="20"/>
          <w:shd w:fill="FFFFFF" w:val="clear"/>
        </w:rPr>
        <w:t xml:space="preserve">separate counsel (together with local counsel), representing </w:t>
      </w:r>
      <w:r>
        <w:rPr>
          <w:rFonts w:ascii="Times New Roman;Times;Serif" w:hAnsi="Times New Roman;Times;Serif"/>
          <w:b w:val="false"/>
          <w:i w:val="false"/>
          <w:caps w:val="false"/>
          <w:smallCaps w:val="false"/>
          <w:sz w:val="20"/>
        </w:rPr>
        <w:t>the Placement Agent and all Indemnified Persons who are parties to such action. The Company shall not be liable for any settlement of any action effected without its written consent (which shall not be unreasonably withheld). In addition, the Company shall not, without the prior written consent of the Placement Agent, settle, compromise or consent to the entry of any judgment in or otherwise seek to terminate any pending or threatened action in respect of which advancement, reimbursement, indemnification or contribution may be sought hereunder (whether or not such Indemnified Person is a party thereto) unless such settlement, compromise, consent or termination (i) includes an unconditional release of each Indemnified Person, acceptable to such Indemnified Party, from all Liabilities arising out of such action for which indemnification or contribution may be sought hereunder and (ii) does not include a statement as to or an admission of fault, culpability or a failure to act, by or on behalf of any Indemnified Person. The advancement, reimbursement, indemnification and contribution obligations of the Company required hereby shall be made by periodic payments of the amount thereof during the course of the investigation or defense, as every Liability and Expense is incurred and is due and payable, and in such amounts as fully satisfy each and every Liability and Expense as it is incurred (and in no event later than 30 days following the date of any invoice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Indemnification of the Company</w:t>
      </w:r>
      <w:r>
        <w:rPr>
          <w:rFonts w:ascii="Times New Roman;Times;Serif" w:hAnsi="Times New Roman;Times;Serif"/>
          <w:b w:val="false"/>
          <w:i w:val="false"/>
          <w:caps w:val="false"/>
          <w:smallCaps w:val="false"/>
          <w:sz w:val="20"/>
        </w:rPr>
        <w:t xml:space="preserve">. The Placement Agent agrees to indemnify and hold harmless the Company, its directors, its officers who signed the Registration Statement and persons who control the Company within the meaning of Section 15 of the Securities Act or Section 20 of the Exchange Act against any and all Liabilities, but only with respect to untrue statements or omissions, or alleged untrue statements or omissions made in the Registration Statement, any Preliminary Prospectus, the Disclosure Package or Prospectus or any amendment or supplement thereto, in reliance upon, and in strict conformity with, the Placement Agent’s Information. In case any action shall be brought against the Company or any other person so indemnified based on any Preliminary Prospectus, the Registration Statement, the Disclosure Package or Prospectus or any amendment or supplement thereto, and in respect of which indemnity may be sought against the Placement Agent, the Placement Agent shall have the rights and duties given to the Company, and the Company and each other person so indemnified shall have the rights and duties given to the Placement Agent by the provisions of Section 9.B. The Company agrees promptly to notify the Placement Agent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Securities or in connection with the Registration Statement, the Disclosure Package, the Prospectus or any Issuer Free Writing Prospectus, provided, that </w:t>
      </w:r>
      <w:r>
        <w:rPr>
          <w:rFonts w:ascii="Times New Roman;Times;Serif" w:hAnsi="Times New Roman;Times;Serif"/>
          <w:b w:val="false"/>
          <w:i w:val="false"/>
          <w:caps w:val="false"/>
          <w:smallCaps w:val="false"/>
          <w:sz w:val="20"/>
          <w:shd w:fill="FFFFFF" w:val="clear"/>
        </w:rPr>
        <w:t>failure by the Company so to notify the Placement Agent shall not relieve the Placement Agent from any obligation or liability which the Placement Agent may have on account of this Section 9.C. or otherwise to the Company, except to the extent the Placement Agent is materially prejudiced as a proximate result of such failure.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In the event that a court of competent jurisdiction makes a finding that indemnity is unavailable to any indemnified person, then each indemnifying party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commissions actually received by the Placement Agent pursuant to this Agreement. The relative fault shall be determined by reference to, among other things, whether the untrue or alleged untrue statement of a material fact or the omission or alleged omission to state a material fact relates to information supplied by the Company on the one hand or the Placement Agent on the other and the parties’ relative intent, knowledge, access to information and opportunity to correct or prevent such statement or omission. The Company and the Placement Agent agree that it would not be just and equitable if contributions pursuant to this subsection (D) were determined by pro rata allocation or by any other method of allocation which does not take account of the equitable considerations referred to above in this subsection (D). For purposes of this paragraph, the relative benefits to the Company, on the one hand, and to the Placement Agent on the other hand, of the matters contemplated by this Agreement shall be deemed to be in the same proportion as: (a) the total value received by the Company in the Offering, whether or not such Offering is consummated, bears to (b) the commissions paid to the Placement Agent under this Agreement. Notwithstanding the above, no person guilty of fraudulent misrepresentation within the meaning of Section 11(f) of the Securities Act shall be entitled to contribution from a party who was not guilty of fraudulent misrepresentation.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Limitation</w:t>
      </w:r>
      <w:r>
        <w:rPr>
          <w:rFonts w:ascii="Times New Roman;Times;Serif" w:hAnsi="Times New Roman;Times;Serif"/>
          <w:b w:val="false"/>
          <w:i w:val="false"/>
          <w:caps w:val="false"/>
          <w:smallCaps w:val="false"/>
          <w:sz w:val="20"/>
        </w:rPr>
        <w:t>. 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to the extent that a court of competent jurisdiction has made a finding that Liabilities (and related Expenses) of the Company have resulted primarily from such Indemnified Person’s gross negligence or willful misconduct in connection with any such advice, actions, inactions or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advancement, reimbursement, indemnity and contribution obligations set forth in this Section 9 shall remain in full force and effect regardless of any termination of, or the completion of any Indemnified Person’s services under or in connection with, this Agreement. Each Indemnified Person is an intended third-party beneficiary of this Section 9, and has the right to enforce the provisions of Section 9 as if he/she/it was a party to this Agreement.</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58" w:type="dxa"/>
        <w:jc w:val="left"/>
        <w:tblInd w:w="0" w:type="dxa"/>
        <w:tblLayout w:type="fixed"/>
        <w:tblCellMar>
          <w:top w:w="0" w:type="dxa"/>
          <w:left w:w="0" w:type="dxa"/>
          <w:bottom w:w="0" w:type="dxa"/>
          <w:right w:w="0" w:type="dxa"/>
        </w:tblCellMar>
      </w:tblPr>
      <w:tblGrid>
        <w:gridCol w:w="38"/>
        <w:gridCol w:w="275"/>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Limitation of Placement Agent Liability to the Company.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and the Company further agree that neither the Placement Agent nor any of its affiliates or any of its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or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the Placement Agent and that are finally judicially determined to have resulted solely from the gross negligence or willful misconduct of the Placement Agent.</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3933" w:type="dxa"/>
        <w:jc w:val="left"/>
        <w:tblInd w:w="0" w:type="dxa"/>
        <w:tblLayout w:type="fixed"/>
        <w:tblCellMar>
          <w:top w:w="0" w:type="dxa"/>
          <w:left w:w="0" w:type="dxa"/>
          <w:bottom w:w="0" w:type="dxa"/>
          <w:right w:w="0" w:type="dxa"/>
        </w:tblCellMar>
      </w:tblPr>
      <w:tblGrid>
        <w:gridCol w:w="38"/>
        <w:gridCol w:w="27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Limitation of Engagement to the Company.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the Placement Agent has been retained only by the Company, that the Placement Agent is providing services hereunder as an independent contractor (and not in any fiduciary or agency capacity) and that the Company’s engagement of the Placement Agent is not deemed to be on behalf of, and is not intended to confer rights upon, any shareholder, owner or partner of the Company or any other person not a party hereto as against the Placement Agent or any of its affiliates, or any of its respective officers, directors, controlling persons (within the meaning of Section 15 of the Securities Act or Section 20 of the Exchange Act), employees or agents. Unless otherwise expressly agreed in writing by the Placement Agent, no one other than the Company is authorized to rely upon any statement or conduct of the Placement Agent in connection with this Agreement. The Company acknowledges that any recommendation or advice, written or oral, given by the Placement Agent to the Company in connection with the Placement Agent’s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The Placement Agent shall not have the authority to make any commitment binding on the Company. The Company, in its sole discretion, shall have the right to reject any investor introduced to it by the Placement Agent. If any purchase agreement and/or related transaction documents are entered into between the Company and the investors in the Offering, the Placement Agent will be entitled to rely on the representations, warranties, agreements and covenants of the Company contained in any such purchase agreement and related transaction documents as if such representations, warranties, agreements and covenants were made directly to the Placement Agent by the Company.</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2553" w:type="dxa"/>
        <w:jc w:val="left"/>
        <w:tblInd w:w="0" w:type="dxa"/>
        <w:tblLayout w:type="fixed"/>
        <w:tblCellMar>
          <w:top w:w="0" w:type="dxa"/>
          <w:left w:w="0" w:type="dxa"/>
          <w:bottom w:w="0" w:type="dxa"/>
          <w:right w:w="0" w:type="dxa"/>
        </w:tblCellMar>
      </w:tblPr>
      <w:tblGrid>
        <w:gridCol w:w="38"/>
        <w:gridCol w:w="27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Amendments and Waivers.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be deemed or constitute a continuing waiver unless otherwise expressly provided.</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653" w:type="dxa"/>
        <w:jc w:val="left"/>
        <w:tblInd w:w="0" w:type="dxa"/>
        <w:tblLayout w:type="fixed"/>
        <w:tblCellMar>
          <w:top w:w="0" w:type="dxa"/>
          <w:left w:w="0" w:type="dxa"/>
          <w:bottom w:w="0" w:type="dxa"/>
          <w:right w:w="0" w:type="dxa"/>
        </w:tblCellMar>
      </w:tblPr>
      <w:tblGrid>
        <w:gridCol w:w="38"/>
        <w:gridCol w:w="27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Confidentiality.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consummation or public announcement of any Offering, the Placement Agent shall have the right to disclose its participation in such Offering, including, without limitation, the placement at its cost of “tombstone” advertisements in financial and other newspapers and journals. The Placement Agent agrees not to use any confidential information concerning the Company provided to the Placement Agent by the Company for any purposes other than those contemplated under this Agreement.</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203" w:type="dxa"/>
        <w:jc w:val="left"/>
        <w:tblInd w:w="0" w:type="dxa"/>
        <w:tblLayout w:type="fixed"/>
        <w:tblCellMar>
          <w:top w:w="0" w:type="dxa"/>
          <w:left w:w="0" w:type="dxa"/>
          <w:bottom w:w="0" w:type="dxa"/>
          <w:right w:w="0" w:type="dxa"/>
        </w:tblCellMar>
      </w:tblPr>
      <w:tblGrid>
        <w:gridCol w:w="38"/>
        <w:gridCol w:w="275"/>
        <w:gridCol w:w="8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Headings.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of the various sections of this Agreement have been inserted for convenience of reference only and will not be deemed to be part of this Agreement.</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488" w:type="dxa"/>
        <w:jc w:val="left"/>
        <w:tblInd w:w="0" w:type="dxa"/>
        <w:tblLayout w:type="fixed"/>
        <w:tblCellMar>
          <w:top w:w="0" w:type="dxa"/>
          <w:left w:w="0" w:type="dxa"/>
          <w:bottom w:w="0" w:type="dxa"/>
          <w:right w:w="0" w:type="dxa"/>
        </w:tblCellMar>
      </w:tblPr>
      <w:tblGrid>
        <w:gridCol w:w="38"/>
        <w:gridCol w:w="275"/>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Counterparts.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one or more counterparts and, if executed in more than one counterpart, the executed counterparts shall each be deemed to be an original and all such counterparts shall together constitute one and the same instrument. The words “execution,” “signed” and “signature” and words of like import in this Agreement and all documents relating thereto, shall (to the extent permissible under governing documents)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without limitation, the Electronic Signatures in Global and National Commerce Act, the New York State Electronic Signatures and Records Act and any other applicable law.</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428" w:type="dxa"/>
        <w:jc w:val="left"/>
        <w:tblInd w:w="0" w:type="dxa"/>
        <w:tblLayout w:type="fixed"/>
        <w:tblCellMar>
          <w:top w:w="0" w:type="dxa"/>
          <w:left w:w="0" w:type="dxa"/>
          <w:bottom w:w="0" w:type="dxa"/>
          <w:right w:w="0" w:type="dxa"/>
        </w:tblCellMar>
      </w:tblPr>
      <w:tblGrid>
        <w:gridCol w:w="38"/>
        <w:gridCol w:w="275"/>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1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Severability.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invalidity, illegality or unenforceability of any section, paragraph or provision of this Agreement shall not affect the validity, legality or enforceability of any other section, paragraph or provision hereof. If any Section, paragraph or provision of this Agreement is for any reason determined to be invalid, illegal or unenforceable, there shall be deemed to be made such minor changes (and only such minor changes) as are necessary to make it valid and enforceable.</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953" w:type="dxa"/>
        <w:jc w:val="left"/>
        <w:tblInd w:w="0" w:type="dxa"/>
        <w:tblLayout w:type="fixed"/>
        <w:tblCellMar>
          <w:top w:w="0" w:type="dxa"/>
          <w:left w:w="0" w:type="dxa"/>
          <w:bottom w:w="0" w:type="dxa"/>
          <w:right w:w="0" w:type="dxa"/>
        </w:tblCellMar>
      </w:tblPr>
      <w:tblGrid>
        <w:gridCol w:w="38"/>
        <w:gridCol w:w="27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Use of Information.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the Placement Agent such written information as the Placement Agent reasonably requests in connection with the performance of its services hereunder. The Company understands, acknowledges and agrees that, in performing its services hereunder, the Placement Agent will use and rely entirely upon such information as well as publicly available information regarding the Company and other potential parties to an Offering and that the Placement Agent does not assume responsibility for independent verification of the accuracy or completeness of any information, whether publicly available or otherwise furnished to it, concerning the Company or otherwise relevant to an Offering, including, without limitation, any financial information, forecasts or projections considered by the Placement Agent in connection with the provision of its services.</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3258" w:type="dxa"/>
        <w:jc w:val="left"/>
        <w:tblInd w:w="0" w:type="dxa"/>
        <w:tblLayout w:type="fixed"/>
        <w:tblCellMar>
          <w:top w:w="0" w:type="dxa"/>
          <w:left w:w="0" w:type="dxa"/>
          <w:bottom w:w="0" w:type="dxa"/>
          <w:right w:w="0" w:type="dxa"/>
        </w:tblCellMar>
      </w:tblPr>
      <w:tblGrid>
        <w:gridCol w:w="38"/>
        <w:gridCol w:w="27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Absence of Fiduciary Relationship.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(a) the Placement Agent has been retained solely to act as Placement Agent in connection with the sale of the Securities and that no fiduciary, advisory or agency relationship between the Company and the Placement Agent has been created in respect of any of the transactions contemplated by this Agreement, irrespective of whether the Placement Agent has advised or is advising the Company on other matters; (b) the Purchase Price and other terms of the Securities set forth in this Agreement were established by the Company following discussions and arms-length negotiations with the Investors and the Company is capable of evaluating and understanding and understands and accepts the terms, risks and conditions of the transactions contemplated by this Agreement; (c) it has been advised that the Placement Agent and its affiliates are engaged in a broad range of transactions that may involve interests that differ from those of the Company and that the Placement Agent has no obligation to disclose such interest and transactions to the Company by virtue of any fiduciary, advisory or agency relationship; and (d) it has been advised that the Placement Agent is acting, in respect of the transactions contemplated by this Agreement, solely for the benefit of the Placement Agent, and not on behalf of the Company and that the Placement Agent may have interests that differ from those of the Company. The Company waives to the full extent permitted by applicable law any claims it may have against the Placement Agent arising from an alleged breach of fiduciary duty in connection with the Offering.</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5058" w:type="dxa"/>
        <w:jc w:val="left"/>
        <w:tblInd w:w="0" w:type="dxa"/>
        <w:tblLayout w:type="fixed"/>
        <w:tblCellMar>
          <w:top w:w="0" w:type="dxa"/>
          <w:left w:w="0" w:type="dxa"/>
          <w:bottom w:w="0" w:type="dxa"/>
          <w:right w:w="0" w:type="dxa"/>
        </w:tblCellMar>
      </w:tblPr>
      <w:tblGrid>
        <w:gridCol w:w="38"/>
        <w:gridCol w:w="275"/>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4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Survival of Indemnities, Representations, Warranties, Etc.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indemnities, covenants, agreements, representations, warranties and other statements of the Company and the Placement Agent, as set forth in this Agreement or made by them respectively, pursuant to this Agreement, shall remain in full force and effect, regardless of any investigation made by or on behalf of the Placement Agent, the Company, the Purchasers or any person controlling any of them and shall survive delivery of and payment for the Securities. Notwithstanding any termination of this Agreement, including without limitation any termination pursuant to Section 5, the payment, reimbursement, indemnity, contribution, advancement and limitation of liability agreements contained in Sections 2, 9, 10, and 11, and the Company’s covenants, representations, and warranties set forth in this Agreement, shall not terminate and shall remain in full force and effect at all times. The indemnity and contribution provisions contained in Section 9 and the covenants, warranties and representations of the Company contained in this Agreement shall remain operative and in full force and effect regardless of (i) any termination of this Agreement, (ii) any investigation made by or on behalf of any of the Placement Agent, any person who controls either of the Placement Agent within the meaning of either Section 15 of the Securities Act or Section 20 of the Exchange Act or any affiliate of the Placement Agent, or by or on behalf of the Company, its directors or officers or any person who controls the Company within the meaning of either Section 15 of the Securities Act or Section 20 of the Exchange Act, and (iii) the issuance and delivery of the Securities.</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698" w:type="dxa"/>
        <w:jc w:val="left"/>
        <w:tblInd w:w="0" w:type="dxa"/>
        <w:tblLayout w:type="fixed"/>
        <w:tblCellMar>
          <w:top w:w="0" w:type="dxa"/>
          <w:left w:w="0" w:type="dxa"/>
          <w:bottom w:w="0" w:type="dxa"/>
          <w:right w:w="0" w:type="dxa"/>
        </w:tblCellMar>
      </w:tblPr>
      <w:tblGrid>
        <w:gridCol w:w="38"/>
        <w:gridCol w:w="27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Governing Law.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 applicable to agreements made and to be fully performed therein, without regard to its choice of law provisions. Any disputes that arise under this Agreement, even after the termination of this Agreement, will be heard only in the state or federal courts located in the City and County of New York, Borough of Manhattan. The parties hereto expressly agree to submit themselves to the jurisdiction of the foregoing courts in the City and County of New York, Borough of Manhattan. The parties hereto expressly waive any rights they may have to contest the jurisdiction, venue or authority of any court sitting in the City and County of New York, Borough of Manhattan.</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053" w:type="dxa"/>
        <w:jc w:val="left"/>
        <w:tblInd w:w="0" w:type="dxa"/>
        <w:tblLayout w:type="fixed"/>
        <w:tblCellMar>
          <w:top w:w="0" w:type="dxa"/>
          <w:left w:w="0" w:type="dxa"/>
          <w:bottom w:w="0" w:type="dxa"/>
          <w:right w:w="0" w:type="dxa"/>
        </w:tblCellMar>
      </w:tblPr>
      <w:tblGrid>
        <w:gridCol w:w="38"/>
        <w:gridCol w:w="275"/>
        <w:gridCol w:w="7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Notices.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communications hereunder shall be in writing and shall be mailed or hand delivered and confirmed to the parties hereto as follows: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(Cayman) Limited</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OCEAN DRIVE, SINGAPORE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098187</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Muchun Zhu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Placement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 Number Capital, LLC</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27F 12E 49th Street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Shenghui Yang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 </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623" w:type="dxa"/>
        <w:jc w:val="left"/>
        <w:tblInd w:w="0" w:type="dxa"/>
        <w:tblLayout w:type="fixed"/>
        <w:tblCellMar>
          <w:top w:w="0" w:type="dxa"/>
          <w:left w:w="0" w:type="dxa"/>
          <w:bottom w:w="0" w:type="dxa"/>
          <w:right w:w="0" w:type="dxa"/>
        </w:tblCellMar>
      </w:tblPr>
      <w:tblGrid>
        <w:gridCol w:w="38"/>
        <w:gridCol w:w="275"/>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Miscellaneous.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of the Placement Agent and the Company, and supersedes any prior agreements, with respect to the subject matter hereof. If any provision of this Agreement is determined to be invalid or unenforceable in any respect, such determination will not affect such provision in any other respect, and the remainder of this Agreement shall remain in full force and effect.</w:t>
      </w:r>
    </w:p>
    <w:p>
      <w:pPr>
        <w:pStyle w:val="TextBody"/>
        <w:bidi w:val="0"/>
        <w:spacing w:before="0" w:after="0"/>
        <w:ind w:left="72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tbl>
      <w:tblPr>
        <w:tblW w:w="1308" w:type="dxa"/>
        <w:jc w:val="left"/>
        <w:tblInd w:w="0" w:type="dxa"/>
        <w:tblLayout w:type="fixed"/>
        <w:tblCellMar>
          <w:top w:w="0" w:type="dxa"/>
          <w:left w:w="0" w:type="dxa"/>
          <w:bottom w:w="0" w:type="dxa"/>
          <w:right w:w="0" w:type="dxa"/>
        </w:tblCellMar>
      </w:tblPr>
      <w:tblGrid>
        <w:gridCol w:w="38"/>
        <w:gridCol w:w="275"/>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Successors.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will inure to the benefit of and be binding upon the parties hereto, and to the benefit of the employees, officers and directors and controlling persons referred to in Section 9 hereof, and to their respective successors, and personal representatives, and, except as set forth in Section 9 of this Agreement, no other person will have any right or obligation hereunder.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acknowledgment that the foregoing correctly sets forth the understanding reached by the Placement Agent and the Company, and intending to be legally bound, please sign in the space provided below, whereupon this letter shall constitute a binding agreement as of the date executed.</w:t>
      </w:r>
    </w:p>
    <w:p>
      <w:pPr>
        <w:pStyle w:val="TextBody"/>
        <w:bidi w:val="0"/>
        <w:spacing w:before="0" w:after="0"/>
        <w:ind w:left="0" w:right="0" w:firstLine="720"/>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75"/>
        <w:gridCol w:w="589"/>
        <w:gridCol w:w="1145"/>
        <w:gridCol w:w="2454"/>
      </w:tblGrid>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Intercont (Cayman) Limited</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By:</w:t>
            </w:r>
          </w:p>
        </w:tc>
        <w:tc>
          <w:tcPr>
            <w:tcW w:w="3599" w:type="dxa"/>
            <w:gridSpan w:val="2"/>
            <w:tcBorders>
              <w:bottom w:val="single" w:sz="12" w:space="0" w:color="000000"/>
            </w:tcBorders>
            <w:tcMar>
              <w:bottom w:w="28" w:type="dxa"/>
            </w:tcMar>
            <w:vAlign w:val="center"/>
          </w:tcPr>
          <w:p>
            <w:pPr>
              <w:pStyle w:val="TableContents"/>
              <w:bidi w:val="0"/>
              <w:spacing w:before="0" w:after="283"/>
              <w:jc w:val="left"/>
              <w:rPr/>
            </w:pPr>
            <w:r>
              <w:rPr/>
              <w:t>/s/ Muchun Zhu</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Name: </w:t>
            </w:r>
          </w:p>
        </w:tc>
        <w:tc>
          <w:tcPr>
            <w:tcW w:w="2454" w:type="dxa"/>
            <w:tcBorders/>
            <w:vAlign w:val="center"/>
          </w:tcPr>
          <w:p>
            <w:pPr>
              <w:pStyle w:val="TableContents"/>
              <w:bidi w:val="0"/>
              <w:spacing w:before="0" w:after="283"/>
              <w:jc w:val="left"/>
              <w:rPr/>
            </w:pPr>
            <w:r>
              <w:rPr/>
              <w:t>Muchun Zhu</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Title:</w:t>
            </w:r>
          </w:p>
        </w:tc>
        <w:tc>
          <w:tcPr>
            <w:tcW w:w="2454" w:type="dxa"/>
            <w:tcBorders/>
            <w:vAlign w:val="center"/>
          </w:tcPr>
          <w:p>
            <w:pPr>
              <w:pStyle w:val="TableContents"/>
              <w:bidi w:val="0"/>
              <w:spacing w:before="0" w:after="283"/>
              <w:jc w:val="left"/>
              <w:rPr/>
            </w:pPr>
            <w:r>
              <w:rPr/>
              <w:t>CEO</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Confirmed as of the date first written above:</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PRIME NUMBER CAPITAL, LLC</w:t>
            </w:r>
          </w:p>
        </w:tc>
      </w:tr>
      <w:tr>
        <w:trPr/>
        <w:tc>
          <w:tcPr>
            <w:tcW w:w="75" w:type="dxa"/>
            <w:tcBorders/>
            <w:vAlign w:val="center"/>
          </w:tcPr>
          <w:p>
            <w:pPr>
              <w:pStyle w:val="TableContents"/>
              <w:bidi w:val="0"/>
              <w:spacing w:before="0" w:after="283"/>
              <w:jc w:val="left"/>
              <w:rPr/>
            </w:pPr>
            <w:r>
              <w:rPr/>
              <w:t> </w:t>
            </w:r>
          </w:p>
        </w:tc>
        <w:tc>
          <w:tcPr>
            <w:tcW w:w="418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By:</w:t>
            </w:r>
          </w:p>
        </w:tc>
        <w:tc>
          <w:tcPr>
            <w:tcW w:w="3599" w:type="dxa"/>
            <w:gridSpan w:val="2"/>
            <w:tcBorders>
              <w:bottom w:val="single" w:sz="12" w:space="0" w:color="000000"/>
            </w:tcBorders>
            <w:tcMar>
              <w:bottom w:w="28" w:type="dxa"/>
            </w:tcMar>
            <w:vAlign w:val="center"/>
          </w:tcPr>
          <w:p>
            <w:pPr>
              <w:pStyle w:val="TableContents"/>
              <w:bidi w:val="0"/>
              <w:spacing w:before="0" w:after="283"/>
              <w:jc w:val="left"/>
              <w:rPr/>
            </w:pPr>
            <w:r>
              <w:rPr/>
              <w:t>/s/ Shenghui Yang</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Name:</w:t>
            </w:r>
          </w:p>
        </w:tc>
        <w:tc>
          <w:tcPr>
            <w:tcW w:w="2454" w:type="dxa"/>
            <w:tcBorders/>
            <w:vAlign w:val="center"/>
          </w:tcPr>
          <w:p>
            <w:pPr>
              <w:pStyle w:val="TableContents"/>
              <w:bidi w:val="0"/>
              <w:spacing w:before="0" w:after="283"/>
              <w:jc w:val="left"/>
              <w:rPr/>
            </w:pPr>
            <w:r>
              <w:rPr/>
              <w:t>Shenghui Yang</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Title:</w:t>
            </w:r>
          </w:p>
        </w:tc>
        <w:tc>
          <w:tcPr>
            <w:tcW w:w="2454" w:type="dxa"/>
            <w:tcBorders/>
            <w:vAlign w:val="center"/>
          </w:tcPr>
          <w:p>
            <w:pPr>
              <w:pStyle w:val="TableContents"/>
              <w:bidi w:val="0"/>
              <w:spacing w:before="0" w:after="283"/>
              <w:jc w:val="left"/>
              <w:rPr/>
            </w:pPr>
            <w:r>
              <w:rPr/>
              <w:t>Principal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General Use Free Writing Prospectuses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BRILLANT CHEER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EAGLE DRAGON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GOLDEN MAPLES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STAR SHIPPING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BEVERLY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EASCOR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sz w:val="20"/>
        </w:rPr>
      </w:pPr>
      <w:r>
        <w:rPr>
          <w:rFonts w:ascii="Times New Roman;Times;Serif" w:hAnsi="Times New Roman;Times;Serif"/>
          <w:b/>
          <w:sz w:val="20"/>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29745401ex99-1.htm"/>
      <w:bookmarkStart w:id="9" w:name="ksea029745401ex991"/>
      <w:bookmarkEnd w:id="8"/>
      <w:bookmarkEnd w:id="9"/>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 Announces Pricing of $6.32 Million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July 07, 2026 (GLOBE NEWSWIRE) -- Intercont (Cayman) Limited (“Intercont” or the “Company”), a global shipping enterprise with plans for seaborne pulping operations, today announced that it has priced a best-efforts public offering with gross proceeds to the Company expected to be approximately $6.32 million, before deducting placement agent fees and other estimated expenses payable by the Company, excluding any proceeds that may be received upon the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comprised of 8,000,000 units (each a “Unit”), consisting of one Class A ordinary share of the Company, par value $0.0025 per share (the “Class A Ordinary Shares”) and one warrant to purchase one Class A Ordinary Share (each a “Warrant”). The public offering price of the Units is $0.79 per Unit. Each of the Warrants will have an exercise price of $0.869 per Class A Ordinary Share and will be exercisable beginning on the date of the issuance and expire six months from the date of issuance.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expected to close on or about July 8, 2026, subject to satisfaction of customary closing conditions. The Company intends to use the net proceeds from this offering for business expansion, general working capital purposes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Prime Number Capital, LLC is acting as sole placement agent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are being offered by the Company pursuant to a registration statement on Form F-1 (File No. 333-296585) previously filed and declared effective by the Securities and Exchange Commission (the “SEC”) on July 6, 2026. This press release shall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 The offering is being made only by means of a written preliminary prospectus and final prospectus that will form a part of the registration statement. Copies of the final prospectus relating to the offering may be obtained from Prime Number Capital, LLC by standard mail to 27 F, 12E 49th Street, New York, NY 10017, or by email at info@pncps.com, or by telephone at (347) 329-1575. In addition, a copy of the prospectus relating to the offering may be obtained via the SEC’s website at www.sec.gov.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Intercont (Cayman)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(Cayman) Limited is a global shipping enterprise with plans for seaborne pulping operations. Under a visionary management team, Intercont is dedicated to providing customers with efficient and environmentally friendly transportation solutions through innovative business models and technology. For more information, please visit: https://www.intercontcayman.com.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of a forward-looking nature. Forward-looking statements include statements concerning plans, objectives, goals, strategies, future events or performance, and underlying assumptions and other statements that are other than statements of historical facts. When the Company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the Company’s expectations discussed in the forward-looking statements. These statements are subject to uncertainties and risks including, but not limited to, the uncertainties related to market conditions and the completion of the public offering on the anticipated terms or at all, and other factors discussed in the “Risk Factors” section of the registration statement filed with the SEC. For these reasons, among others, investors are cautioned not to place undue reliance upon any forward-looking statements in this press release. Additional factors are discussed in the Company’s filings with the SEC, which are available for review at www.sec.gov. The Company undertakes no obligation to publicly revise these forward-looking statements to reflect events or circumstances that arise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investorrelations@intercontcayman.com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+65 88182399</w:t>
      </w:r>
    </w:p>
    <w:p>
      <w:pPr>
        <w:pStyle w:val="TextBody"/>
        <w:bidi w:val="0"/>
        <w:spacing w:before="0" w:after="0"/>
        <w:ind w:left="0" w:right="0" w:hanging="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2018529/000121390026069967/ea0291199-0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41782</Words>
  <Characters>221764</Characters>
  <CharactersWithSpaces>263685</CharactersWithSpaces>
  <Paragraphs>1434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