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5419-6k_intercont.htm"/>
      <w:bookmarkStart w:id="1" w:name="ksea03054196k_intercon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001-42571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INTERCONT (CAYMAN)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 Ocean Drive Singapore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 is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900" w:type="dxa"/>
        <w:jc w:val="left"/>
        <w:tblInd w:w="0" w:type="dxa"/>
        <w:tblLayout w:type="fixed"/>
        <w:tblCellMar>
          <w:top w:w="0" w:type="dxa"/>
          <w:left w:w="0" w:type="dxa"/>
          <w:bottom w:w="28" w:type="dxa"/>
          <w:right w:w="0" w:type="dxa"/>
        </w:tblCellMar>
      </w:tblPr>
      <w:tblGrid>
        <w:gridCol w:w="725"/>
        <w:gridCol w:w="60"/>
        <w:gridCol w:w="1115"/>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111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1115" w:type="dxa"/>
            <w:tcBorders/>
            <w:shd w:fill="CCEEFF" w:val="clear"/>
            <w:tcMar>
              <w:bottom w:w="0" w:type="dxa"/>
            </w:tcMar>
            <w:vAlign w:val="center"/>
          </w:tcPr>
          <w:p>
            <w:pPr>
              <w:pStyle w:val="TableContents"/>
              <w:bidi w:val="0"/>
              <w:spacing w:before="0" w:after="283"/>
              <w:jc w:val="both"/>
              <w:rPr/>
            </w:pPr>
            <w:hyperlink w:anchor="ea030541901ex99-1.htm">
              <w:r>
                <w:rPr>
                  <w:rStyle w:val="InternetLink"/>
                  <w:rFonts w:ascii="Times New Roman;Times;Serif" w:hAnsi="Times New Roman;Times;Serif"/>
                  <w:sz w:val="20"/>
                </w:rPr>
                <w:t>Press Release</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2135"/>
        <w:gridCol w:w="340"/>
        <w:gridCol w:w="2079"/>
      </w:tblGrid>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15, 2026</w:t>
            </w:r>
          </w:p>
        </w:tc>
        <w:tc>
          <w:tcPr>
            <w:tcW w:w="241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Intercont (Cayman) Limited</w:t>
            </w:r>
          </w:p>
        </w:tc>
      </w:tr>
      <w:tr>
        <w:trPr/>
        <w:tc>
          <w:tcPr>
            <w:tcW w:w="213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79" w:type="dxa"/>
            <w:tcBorders>
              <w:bottom w:val="single" w:sz="12" w:space="0" w:color="000000"/>
            </w:tcBorders>
            <w:tcMar>
              <w:bottom w:w="28" w:type="dxa"/>
            </w:tcMar>
            <w:vAlign w:val="center"/>
          </w:tcPr>
          <w:p>
            <w:pPr>
              <w:pStyle w:val="TableContents"/>
              <w:bidi w:val="0"/>
              <w:spacing w:before="0" w:after="283"/>
              <w:jc w:val="left"/>
              <w:rPr/>
            </w:pPr>
            <w:r>
              <w:rPr/>
              <w:t>/s/ Muchun Zhu</w:t>
            </w:r>
          </w:p>
        </w:tc>
      </w:tr>
      <w:tr>
        <w:trPr/>
        <w:tc>
          <w:tcPr>
            <w:tcW w:w="213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Muchun Zhu</w:t>
            </w:r>
          </w:p>
        </w:tc>
      </w:tr>
      <w:tr>
        <w:trPr/>
        <w:tc>
          <w:tcPr>
            <w:tcW w:w="2135"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20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41901ex99-1.htm"/>
      <w:bookmarkStart w:id="3" w:name="ksea0305419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 Announces Effective Time of Share Consolidation/Reverse Share Splitto Regain NASDAQ Compliance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14, 2026 -- Intercont (Cayman) Limited (“Intercont” or the “Company”), a global shipping enterprise, today announced that it will effect a share consolidation (“Reverse Share Split”) of its ordinary shares at a ratio of 25-for-1, effective as of September 17, 2026 (the “Effective Time”), in order to regain compliance with the minimum $1.00 bid price per share requirement of Nasdaq’s Marketplace Rule 5550(a)(2).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with the opening of trading on September 17, 2026, the Company’s Class A ordinary shares will trade on the Nasdaq Capital Market on a split-adjusted basis, under the same symbol “NCT” but under a new CUSIP number, G48049129.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previously approved the reverse split and granted the Company’s board of directors the authority to determine the final consolidation ration (ranging from 2-for-1 to 1000-for-1) and the timing to for its implementation, provided that such implementation occurs within five years from the date of approval. Upon effecting the consolidation, the number of authorized, issued, and unissued Class A ordinary shares will be reduced proportionally, and the par value per share will be increased by the same ratio. On September 5, 2026, the Company’s board of directors approved the implementation of the Reverse Share Split at the ratio of 25-for-1 as of the Effective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Effective Time, every 25 shares of the Company’s issued and outstanding Class A ordinary shares will be combined into one issued and outstanding Class A ordinary share without any action on the part of the shareholders. The total number of authorized Class A ordinary shares will be reduced from 80,000,000,000 to 3,200,000,000, and the par value will change from $0.0025 to $0.0625 per Class A share. Meanwhile, the issued Class A ordinary shares will be reduced from 25,437,740 pre-split to 1,017,510 post-split. The authorized Class B ordinary shares will remain unchanged. No fractional Class A Ordinary Shares will be issued in connection with the Reverse Share Split, and any fractional shares of Class A Ordinary Shares resulting from the Reverse Share Split will be rounded up at the beneficial holder level.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transfer agent, Transhare Corporation, will serve as the exchange agent for the Reverse Share Split. Registered stockholders holding pre-Reverse Share Split ordinary shares of the Company’s electronically in book-entry form are not required to take any action to receive post- reverse-split shares. Those stockholders who hold their shares in brokerage accounts or in “street name” will have their positions automatically adjusted to reflect the Reverse Share Split, subject to each brokers’ particular processes, and will not be required to take any action in connection with the Reverse Share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About Intercont (Cayman)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Intercont (Cayman) Limited is a global shipping enterprise with plans for seaborne pulping operations. Under a visionary management team, Intercont is dedicated to providing customers with efficient and environmentally friendly transportation solutions through innovative business models and technology. For more information, please visit: https://www.intercontcayman.com.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of a forward-looking nature.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guarantees of future performance and involve risks and uncertainties that may cause the actual results to differ materially from the Company’s expectations discussed in the forward-looking statements. These statements are subject to uncertainties and risks including, but not limited to, the uncertainties related to market conditions and the completion of the initial public offering on the anticipated terms or at all, and other factors discussed in the “Risk Factors” section of the registration statement filed with the SEC.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investorrelations@intercontcayman.com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+65 88182399</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858</Words>
  <Characters>4999</Characters>
  <CharactersWithSpaces>5871</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