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confidentially submitted to the Securities and Exchange Commission on May 18, 2026.</w:t>
        <w:br/>
        <w:t xml:space="preserve">This draft registration statement has not been publicly filed with the United States Securities and </w:t>
        <w:br/>
        <w:t>Exchange Commission and all information herein remains strictly confidential.</w:t>
      </w:r>
    </w:p>
    <w:p>
      <w:pPr>
        <w:pStyle w:val="TextBody"/>
        <w:keepNext w:val="true"/>
        <w:pageBreakBefore w:val="false"/>
        <w:widowControl/>
        <w:pBdr/>
        <w:bidi w:val="0"/>
        <w:spacing w:before="20" w:after="283"/>
        <w:ind w:left="0" w:right="48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Statement No. 333-      </w:t>
      </w:r>
    </w:p>
    <w:p>
      <w:pPr>
        <w:pStyle w:val="TextBody"/>
        <w:keepNext w:val="true"/>
        <w:pageBreakBefore w:val="false"/>
        <w:widowControl/>
        <w:pBdr/>
        <w:bidi w:val="0"/>
        <w:spacing w:before="6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40" w:after="283"/>
        <w:jc w:val="center"/>
        <w:rPr>
          <w:caps w:val="false"/>
          <w:smallCaps w:val="false"/>
        </w:rPr>
      </w:pPr>
      <w:r>
        <w:rPr>
          <w:caps w:val="false"/>
          <w:smallCaps w:val="false"/>
        </w:rPr>
        <w: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FORM F-1</w:t>
        <w:br/>
        <w:t>REGISTRATION STATEMENT</w:t>
        <w:br/>
      </w:r>
      <w:r>
        <w:rPr>
          <w:rFonts w:ascii="Times New Roman PS Std;serif" w:hAnsi="Times New Roman PS Std;serif"/>
          <w:b/>
          <w:i/>
          <w:caps w:val="false"/>
          <w:smallCaps w:val="false"/>
          <w:sz w:val="20"/>
        </w:rPr>
        <w:t>UNDER</w:t>
        <w:br/>
        <w:t>THE SECURITIES ACT OF 1933</w:t>
      </w:r>
    </w:p>
    <w:p>
      <w:pPr>
        <w:pStyle w:val="TextBody"/>
        <w:keepNext w:val="true"/>
        <w:pageBreakBefore w:val="false"/>
        <w:widowControl/>
        <w:pBdr/>
        <w:bidi w:val="0"/>
        <w:spacing w:before="60" w:after="283"/>
        <w:jc w:val="center"/>
        <w:rPr>
          <w:caps w:val="false"/>
          <w:smallCaps w:val="false"/>
        </w:rPr>
      </w:pPr>
      <w:r>
        <w:rPr>
          <w:caps w:val="false"/>
          <w:smallCaps w:val="false"/>
        </w:rPr>
        <w: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Intercont (Cayman) Limited</w:t>
        <w:br/>
      </w:r>
      <w:r>
        <w:rPr>
          <w:rFonts w:ascii="Times New Roman PS Std;serif" w:hAnsi="Times New Roman PS Std;serif"/>
          <w:b/>
          <w:i w:val="false"/>
          <w:caps w:val="false"/>
          <w:smallCaps w:val="false"/>
          <w:sz w:val="20"/>
        </w:rPr>
        <w:t>(Exact name of Registrant as specified in its charter)</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br/>
        <w:t>(Translation of Registrant’s name into English)</w:t>
      </w:r>
    </w:p>
    <w:p>
      <w:pPr>
        <w:pStyle w:val="TextBody"/>
        <w:keepNext w:val="true"/>
        <w:pageBreakBefore w:val="false"/>
        <w:widowControl/>
        <w:pBdr/>
        <w:bidi w:val="0"/>
        <w:spacing w:before="40" w:after="283"/>
        <w:jc w:val="center"/>
        <w:rPr>
          <w:caps w:val="false"/>
          <w:smallCaps w:val="false"/>
        </w:rPr>
      </w:pPr>
      <w:r>
        <w:rPr>
          <w:caps w:val="false"/>
          <w:smallCaps w:val="false"/>
        </w:rPr>
        <w:t>–––––––––––––––––––––––––––––––––––––––––</w:t>
      </w:r>
    </w:p>
    <w:tbl>
      <w:tblPr>
        <w:tblW w:w="8530" w:type="dxa"/>
        <w:jc w:val="left"/>
        <w:tblInd w:w="0" w:type="dxa"/>
        <w:tblLayout w:type="fixed"/>
        <w:tblCellMar>
          <w:top w:w="0" w:type="dxa"/>
          <w:left w:w="0" w:type="dxa"/>
          <w:bottom w:w="0" w:type="dxa"/>
          <w:right w:w="0" w:type="dxa"/>
        </w:tblCellMar>
      </w:tblPr>
      <w:tblGrid>
        <w:gridCol w:w="3016"/>
        <w:gridCol w:w="146"/>
        <w:gridCol w:w="2881"/>
        <w:gridCol w:w="146"/>
        <w:gridCol w:w="2341"/>
      </w:tblGrid>
      <w:tr>
        <w:trPr/>
        <w:tc>
          <w:tcPr>
            <w:tcW w:w="30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tc>
        <w:tc>
          <w:tcPr>
            <w:tcW w:w="146" w:type="dxa"/>
            <w:tcBorders/>
            <w:vAlign w:val="bottom"/>
          </w:tcPr>
          <w:p>
            <w:pPr>
              <w:pStyle w:val="TableContents"/>
              <w:bidi w:val="0"/>
              <w:spacing w:before="0" w:after="283"/>
              <w:jc w:val="left"/>
              <w:rPr/>
            </w:pPr>
            <w:r>
              <w:rPr/>
              <w:t> </w:t>
            </w:r>
          </w:p>
        </w:tc>
        <w:tc>
          <w:tcPr>
            <w:tcW w:w="28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4412</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 Applicable</w:t>
            </w:r>
          </w:p>
        </w:tc>
      </w:tr>
      <w:tr>
        <w:trPr/>
        <w:tc>
          <w:tcPr>
            <w:tcW w:w="30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or other jurisdiction of</w:t>
              <w:br/>
              <w:t>incorporation or organization)</w:t>
            </w:r>
          </w:p>
        </w:tc>
        <w:tc>
          <w:tcPr>
            <w:tcW w:w="146" w:type="dxa"/>
            <w:tcBorders/>
            <w:vAlign w:val="bottom"/>
          </w:tcPr>
          <w:p>
            <w:pPr>
              <w:pStyle w:val="TableContents"/>
              <w:bidi w:val="0"/>
              <w:spacing w:before="0" w:after="283"/>
              <w:jc w:val="left"/>
              <w:rPr/>
            </w:pPr>
            <w:r>
              <w:rPr/>
              <w:t> </w:t>
            </w:r>
          </w:p>
        </w:tc>
        <w:tc>
          <w:tcPr>
            <w:tcW w:w="288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(Primary Standard Industrial</w:t>
              <w:br/>
              <w:t>Classification Code Number)</w:t>
            </w:r>
          </w:p>
        </w:tc>
        <w:tc>
          <w:tcPr>
            <w:tcW w:w="146" w:type="dxa"/>
            <w:tcBorders/>
            <w:vAlign w:val="bottom"/>
          </w:tcPr>
          <w:p>
            <w:pPr>
              <w:pStyle w:val="TableContents"/>
              <w:bidi w:val="0"/>
              <w:spacing w:before="0" w:after="283"/>
              <w:jc w:val="left"/>
              <w:rPr/>
            </w:pPr>
            <w:r>
              <w:rPr/>
              <w:t> </w:t>
            </w:r>
          </w:p>
        </w:tc>
        <w:tc>
          <w:tcPr>
            <w:tcW w:w="234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(I.R.S. Employer</w:t>
              <w:br/>
              <w:t>Identification Number)</w:t>
            </w:r>
          </w:p>
        </w:tc>
      </w:tr>
    </w:tbl>
    <w:p>
      <w:pPr>
        <w:pStyle w:val="TextBody"/>
        <w:keepNext w:val="tru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 OCEAN DRIVE, SINGAPORE</w:t>
        <w:br/>
        <w:t>Singapore, 098187</w:t>
        <w:br/>
        <w:t>Tel: +65 88182399</w:t>
        <w:br/>
        <w:t>(Address, including zip code, and telephone number, including area code, of Registrant’s principal executive offices)</w:t>
      </w:r>
    </w:p>
    <w:p>
      <w:pPr>
        <w:pStyle w:val="TextBody"/>
        <w:keepNext w:val="true"/>
        <w:pageBreakBefore w:val="false"/>
        <w:widowControl/>
        <w:pBdr/>
        <w:bidi w:val="0"/>
        <w:spacing w:before="40" w:after="283"/>
        <w:jc w:val="center"/>
        <w:rPr>
          <w:caps w:val="false"/>
          <w:smallCaps w:val="false"/>
        </w:rPr>
      </w:pPr>
      <w:r>
        <w:rPr>
          <w:caps w:val="false"/>
          <w:smallCaps w:val="false"/>
        </w:rPr>
        <w:t>–––––––––––––––––––––––––––––––––––––––––</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Cogency Global Inc.</w:t>
        <w:br/>
        <w:t>122 East 42nd Street, 18th Floor</w:t>
        <w:br/>
        <w:t>New York, New York 10016</w:t>
        <w:br/>
        <w:t>(212) 947-7200</w:t>
        <w:br/>
        <w:t>(Name, address, including zip code, and telephone number, including area code, of agent for service)</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w:t>
      </w:r>
    </w:p>
    <w:p>
      <w:pPr>
        <w:pStyle w:val="TextBody"/>
        <w:keepNext w:val="false"/>
        <w:pageBreakBefore w:val="false"/>
        <w:widowControl/>
        <w:pBdr/>
        <w:bidi w:val="0"/>
        <w:spacing w:before="20" w:after="283"/>
        <w:jc w:val="center"/>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Copies to:</w:t>
      </w:r>
    </w:p>
    <w:tbl>
      <w:tblPr>
        <w:tblW w:w="6493" w:type="dxa"/>
        <w:jc w:val="left"/>
        <w:tblInd w:w="0" w:type="dxa"/>
        <w:tblLayout w:type="fixed"/>
        <w:tblCellMar>
          <w:top w:w="0" w:type="dxa"/>
          <w:left w:w="0" w:type="dxa"/>
          <w:bottom w:w="0" w:type="dxa"/>
          <w:right w:w="0" w:type="dxa"/>
        </w:tblCellMar>
      </w:tblPr>
      <w:tblGrid>
        <w:gridCol w:w="3316"/>
        <w:gridCol w:w="146"/>
        <w:gridCol w:w="3031"/>
      </w:tblGrid>
      <w:tr>
        <w:trPr/>
        <w:tc>
          <w:tcPr>
            <w:tcW w:w="3316" w:type="dxa"/>
            <w:tcBorders/>
            <w:vAlign w:val="bottom"/>
          </w:tcPr>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Lan Lou, Esq.</w:t>
              <w:br/>
              <w:t>Jun He Law Offices LLC</w:t>
              <w:br/>
              <w:t>Suite 1919, 630 Fifth Avenue</w:t>
              <w:br/>
              <w:t>New York, NY 10111</w:t>
              <w:br/>
              <w:t>Tel: (917) 661-8175</w:t>
            </w:r>
          </w:p>
        </w:tc>
        <w:tc>
          <w:tcPr>
            <w:tcW w:w="146" w:type="dxa"/>
            <w:tcBorders/>
            <w:vAlign w:val="bottom"/>
          </w:tcPr>
          <w:p>
            <w:pPr>
              <w:pStyle w:val="TableContents"/>
              <w:bidi w:val="0"/>
              <w:spacing w:before="0" w:after="283"/>
              <w:jc w:val="left"/>
              <w:rPr/>
            </w:pPr>
            <w:r>
              <w:rPr/>
              <w:t> </w:t>
            </w:r>
          </w:p>
        </w:tc>
        <w:tc>
          <w:tcPr>
            <w:tcW w:w="30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Jing Ye, Esq.</w:t>
              <w:br/>
              <w:t>Ye &amp; Associates, P.C.</w:t>
              <w:br/>
              <w:t>275 5th</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Avenue, 2nd</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Floor</w:t>
              <w:br/>
              <w:t>New York, NY 10016</w:t>
              <w:br/>
              <w:t>Tel: (929) 300-7489</w:t>
            </w:r>
          </w:p>
        </w:tc>
      </w:tr>
    </w:tbl>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_________________________________________</w:t>
      </w:r>
    </w:p>
    <w:p>
      <w:pPr>
        <w:pStyle w:val="TextBody"/>
        <w:keepNext w:val="true"/>
        <w:pageBreakBefore w:val="false"/>
        <w:widowControl/>
        <w:pBdr/>
        <w:bidi w:val="0"/>
        <w:spacing w:before="50" w:after="283"/>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Approximate date of commencement of proposed sale to the public: as soon as practicable after the effective date of this registration statement.</w:t>
      </w:r>
    </w:p>
    <w:p>
      <w:pPr>
        <w:pStyle w:val="TextBody"/>
        <w:keepNext w:val="false"/>
        <w:pageBreakBefore w:val="false"/>
        <w:widowControl/>
        <w:pBdr/>
        <w:bidi w:val="0"/>
        <w:spacing w:before="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any of the securities being registered on this Form are to be offered on a delayed or continuous basis pursuant to Rule 415 under the Securities Act of 1933, check the following box.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amendment filed pursuant to Rule 462(c)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If this Form is a post-effective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 xml:space="preserve">amendment filed pursuant to Rule 462(d) under the Securities Act, check the following box and list the Securities Act registration statement number of the earlier effective registration statement for the same offering.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Indicate by check mark whether the registrant is an emerging growth company as defined in Rule 405 of the Securities Act of 1933.</w:t>
      </w:r>
    </w:p>
    <w:p>
      <w:pPr>
        <w:pStyle w:val="TextBody"/>
        <w:keepNext w:val="false"/>
        <w:pageBreakBefore w:val="false"/>
        <w:widowControl/>
        <w:pBdr/>
        <w:bidi w:val="0"/>
        <w:spacing w:before="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Emerging growth company </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Times New Roman PS Std;serif" w:hAnsi="Times New Roman PS Std;serif"/>
          <w:b w:val="false"/>
          <w:i w:val="false"/>
          <w:caps w:val="false"/>
          <w:smallCaps w:val="false"/>
          <w:sz w:val="20"/>
        </w:rPr>
        <w:t>☐</w:t>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6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The term “new or revised financial accounting standard” refers to any update issued by the Financial Accounting Standards Board to its Accounting Standards Codification after April 5, 2012.</w:t>
      </w:r>
    </w:p>
    <w:p>
      <w:pPr>
        <w:pStyle w:val="TextBody"/>
        <w:keepNext w:val="false"/>
        <w:pageBreakBefore w:val="false"/>
        <w:widowControl/>
        <w:pBdr/>
        <w:bidi w:val="0"/>
        <w:spacing w:before="60" w:after="283"/>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color w:val="D2232A"/>
          <w:sz w:val="20"/>
        </w:rPr>
      </w:pPr>
      <w:r>
        <w:rPr>
          <w:rFonts w:ascii="Times New Roman PS Std;serif" w:hAnsi="Times New Roman PS Std;serif"/>
          <w:b/>
          <w:i w:val="false"/>
          <w:caps w:val="false"/>
          <w:smallCaps w:val="false"/>
          <w:color w:val="D2232A"/>
          <w:sz w:val="20"/>
        </w:rPr>
        <w:t>The information in this preliminary prospectus is not complete and may be changed. These securities may not be sold until the registration statement filed with the United States Securities and Exchange Commission is effective. This preliminary prospectus is not an offer to sell nor does it seek an offer to buy these securities in any jurisdiction where the offer or sale is not permitted.</w:t>
      </w:r>
    </w:p>
    <w:p>
      <w:pPr>
        <w:pStyle w:val="TextBody"/>
        <w:keepNext w:val="true"/>
        <w:pageBreakBefore w:val="false"/>
        <w:widowControl/>
        <w:pBdr/>
        <w:bidi w:val="0"/>
        <w:spacing w:before="240" w:after="283"/>
        <w:jc w:val="center"/>
        <w:rPr>
          <w:rFonts w:ascii="Times New Roman PS Std;serif" w:hAnsi="Times New Roman PS Std;serif"/>
          <w:b w:val="false"/>
          <w:i/>
          <w:caps w:val="false"/>
          <w:smallCaps w:val="false"/>
          <w:color w:val="D2232A"/>
          <w:sz w:val="20"/>
        </w:rPr>
      </w:pPr>
      <w:r>
        <w:rPr>
          <w:rFonts w:ascii="Times New Roman PS Std;serif" w:hAnsi="Times New Roman PS Std;serif"/>
          <w:b w:val="false"/>
          <w:i/>
          <w:caps w:val="false"/>
          <w:smallCaps w:val="false"/>
          <w:color w:val="D2232A"/>
          <w:sz w:val="20"/>
        </w:rPr>
        <w:t>PRELIMINARY PROSPECTUS (Subject to Completion)</w:t>
        <w:br/>
        <w:t>Dated May 18, 2026</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[8,000,000] Units, each consisting of one Class A Ordinary Share and one Warrant to purchase one Class A Ordinary Share</w:t>
      </w:r>
    </w:p>
    <w:p>
      <w:pPr>
        <w:pStyle w:val="TextBody"/>
        <w:keepNext w:val="false"/>
        <w:pageBreakBefore w:val="false"/>
        <w:widowControl/>
        <w:pBdr/>
        <w:bidi w:val="0"/>
        <w:spacing w:before="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[8,000,000] Class A Ordinary Shares included in the Units</w:t>
      </w:r>
    </w:p>
    <w:p>
      <w:pPr>
        <w:pStyle w:val="TextBody"/>
        <w:keepNext w:val="false"/>
        <w:pageBreakBefore w:val="false"/>
        <w:widowControl/>
        <w:pBdr/>
        <w:bidi w:val="0"/>
        <w:spacing w:before="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[8,000,000] Warrants to Purchase Class A Ordinary Shares</w:t>
      </w:r>
    </w:p>
    <w:p>
      <w:pPr>
        <w:pStyle w:val="TextBody"/>
        <w:keepNext w:val="false"/>
        <w:pageBreakBefore w:val="false"/>
        <w:widowControl/>
        <w:pBdr/>
        <w:bidi w:val="0"/>
        <w:spacing w:before="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Up to [16,000,000] Class A Ordinary Shares Issuable upon Exercise of the Warrants to Purchase Class A Ordinary Shares at a Zero Exercise Price</w:t>
      </w:r>
    </w:p>
    <w:p>
      <w:pPr>
        <w:pStyle w:val="TextBody"/>
        <w:keepNext w:val="false"/>
        <w:pageBreakBefore w:val="false"/>
        <w:widowControl/>
        <w:pBdr/>
        <w:bidi w:val="0"/>
        <w:spacing w:before="240" w:after="283"/>
        <w:jc w:val="center"/>
        <w:rPr>
          <w:caps w:val="false"/>
          <w:smallCaps w:val="false"/>
        </w:rPr>
      </w:pPr>
      <w:r>
        <w:rPr>
          <w:caps w:val="false"/>
          <w:smallCaps w:val="false"/>
        </w:rPr>
        <w:drawing>
          <wp:inline distT="0" distB="0" distL="0" distR="0">
            <wp:extent cx="1409700" cy="5695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9700" cy="56959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32"/>
        </w:rPr>
      </w:pPr>
      <w:r>
        <w:rPr>
          <w:rFonts w:ascii="Times New Roman PS Std;serif" w:hAnsi="Times New Roman PS Std;serif"/>
          <w:b/>
          <w:i w:val="false"/>
          <w:caps w:val="false"/>
          <w:smallCaps w:val="false"/>
          <w:sz w:val="32"/>
        </w:rPr>
        <w:t>Intercont (Cayman) Limited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(Cayman) Ltd. (the “Company,” “we” or “us”) is offering on a best-efforts basis up to [8,000,000] units (the “Units”), each consisting of one Class A Ordinary Share, par value $0.0025 per share (the “Class A Ordinary Shares”), and one warrant to purchase one Class A Ordinary Share (each, a “Warrant”). We are offering the Units at the assumed initial public offering price of $[•] per Unit (the “Offering”). We are also registering up to [16,000,000] Class A Ordinary Shares underlying the Warrants. Each of the Warrants will have an exercise price of $[•] per Class A Ordinary Share and will be exercisable beginning on the date of the issuance date and ending on the six months of the issuance date. The initial public offering price per Unit in the Offering will be determined by us based on negotiations with the placement agent who will be acting on behalf of the prospective investors in the Offering. which is based on latest market price prior to the pricing of the Offering. The last reported sale price of our Class A Ordinary Shares on The Nasdaq Capital Market on [•], 2026 was $[•] per Class A Ordinary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initial exercise price of $[•] for each of the Warrants was determined at [•]% of the assumed public offering price of $[•] per Unit. The exercise price may be subject to adjustments as described in the Warrant. Such adjustments occur in the following circumstances: (i) if the Company effects any share splits, combinations, reclassifications, or share dividends, the exercise price may be adjusted proportionately; and (ii) in the event of certain corporate transactions such as mergers or reorganizations, the exercise price may be adjusted to reflect the consideration received by holders of Class A Ordinary Shares in the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Units have no stand-alone rights and will not be certificated or issued as stand-alone securities. The Class A Ordinary Shares can each be purchased in this offering only with the accompanying Warrants as part of the Units, but the component parts of the Units will be immediately separable and issued separately in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and only if at the time of any exercise of the Warrant, there is no effective registration statement registering, or the prospectus contained therein is not available for the issuance of the Class A Ordinary Shares underlying the Warrants to the holder, in lieu of making the cash payment otherwise contemplated to be made to us upon such exercise in payment of the aggregate exercise price, the holder may elect instead to receive upon such exercise (either in whole or in part) the number of Class A Ordinary Shares equal to the quotient obtained by dividing [(A-B) (X)] by (A), where (A) = trading price formulas determined under the Warrants; (B) = the exercise price of the Warrants; and (X) = the number of warrant shares that would be issuable upon exercise of such Warrants by means of a cash exercise rather than a cashless exercise. Subject to customary adjustments for share dividends, splits or other changes in share capital, the maximum number of Class A Ordinary Shares issuable upon cashless exercise of the Warrants is [8,000,000].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the Warrants may also effect an exercise at a zero exercise price (the “zero exercise price option”) at any time while the Warrants are outstanding. Two (2) Class A Ordinary Shares are issuable under each Warrant in such zero exercise price option pursuant to any given notice of exercise electing to effect a zero exercise price option. The Warrants included in this Offering entitle the holders to receive, via the zero exercise price option, up to [16,000,000]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While the Warrants do provide for an initial exercise price of $[•] per Class A Ordinary Share as well as the ability to exercise the Warrants on a cashless exercise basis, it is anticipated that all Warrant holders will utilize the zero exercise price option as this allows for the exercise of the Warrants for no additional consideration and will result in a greater number of Class A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that investors will receive under upon exercise than what would be issuable upon cash exercise or cashless exercise. As a result, there is no practical or financial incentive for holders of the Warrants to exercise the Warrants via cash exercise or cashless exercise and we do not expect to receive any proceeds from the exercise of the Warrants overall.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Ordinary Shares are listed on The Nasdaq Capital Market under the symbol “NCT.” The last reported sale price of our Class A Ordinary Shares on The Nasdaq Capital Market on [•], 2026 was $[•] per Class A Ordinary Share. There is no established public trading market for the Warrants, and we do not intend to list the Warrants on any national securities exchange or trading system. Without a trading market, the liquidity of the Warrants will be limited. We are also registering the Class A Ordinary Shares issuable upon exercise of the Warrants and anticipate that such Class A Ordinary Shares will trade on The Nasdaq Capital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engaged Prime Number Capital, LLC to act as our exclusive placement agent in connection with this offering (the “placement agent”). The placement agent has agreed to use its best efforts to arrange for the sale of the securities offered by this prospectus. The placement agent is not purchasing or selling any of the securities we are offering and the placement agent is not required to arrange the purchase or sale of any specific number or dollar amount of securities. We have agreed to pay to the placement agent the placement agent fees set forth in the table below, which assumes that we sell all of the securities offered by this prospectus. There is no arrangement for funds to be received in escrow, trust or similar arrangement. There is no minimum offering requirement as a condition of closing of this offering.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an amount of securities sufficient to pursue our business goals described in this prospectus. See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on page 19 of this prospectus. We will bear all costs associated with the offering. See “</w:t>
      </w:r>
      <w:r>
        <w:rPr>
          <w:rFonts w:ascii="Times New Roman PS Std;serif" w:hAnsi="Times New Roman PS Std;serif"/>
          <w:b w:val="false"/>
          <w:i/>
          <w:caps w:val="false"/>
          <w:smallCaps w:val="false"/>
          <w:sz w:val="20"/>
        </w:rPr>
        <w:t>Plan of Distribution</w:t>
      </w:r>
      <w:r>
        <w:rPr>
          <w:rFonts w:ascii="Times New Roman PS Std;serif" w:hAnsi="Times New Roman PS Std;serif"/>
          <w:b w:val="false"/>
          <w:i w:val="false"/>
          <w:caps w:val="false"/>
          <w:smallCaps w:val="false"/>
          <w:sz w:val="20"/>
        </w:rPr>
        <w:t>” on page 125 of this prospectus for more information regarding these arrangements.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have one closing for all the securities purchased in this offering. The offering will terminate upon the completion of a single closing, which is expected to occur on or about [•], 2026. The public offering price per Unit (consisting of one Class A Ordinary Share and one Warrant) will be fixed for the duration of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established an escrow account in conjunction with this offering. Because there is no escrow account and no minimum number of securities or amount of proceeds, investors could be in a position where they have invested in us, but we have not raised sufficient proceeds in this offering to adequately fund the intended uses of the proceeds as described in this prospectus. Also, any proceeds from the sale of securities offered by us will be available for our immediate use, despite uncertainty about whether we would be able to use such funds to effectively implement our business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Investing in our securities involves a high degree of risk. See “</w:t>
      </w:r>
      <w:r>
        <w:rPr>
          <w:rFonts w:ascii="Times New Roman PS Std;serif" w:hAnsi="Times New Roman PS Std;serif"/>
          <w:b/>
          <w:i/>
          <w:caps w:val="false"/>
          <w:smallCaps w:val="false"/>
          <w:sz w:val="20"/>
        </w:rPr>
        <w:t>Risk Factors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beginning on page 19 of this 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 Cayman Islands holding company with no substantive operations. As used in this prospectus, “we,” “us,” the “Group,” “our company,” and “our,” refer to Intercont (Cayman) Limited, together as a group with its subsidiaries. Intercont carries out its business primarily through its subsidiaries located in Asia. Investors in Intercont’s Class A Ordinary Shares should be aware that they will not directly hold equity interests in the operating subsidiaries, but will solely hold equity interests in Intercont, the Cayman holding company. This structure involves unique risks to the investors. If the structure changes or becomes disallowed by regulatory authorities, Intercont’s operations could be materially and adversely affected, causing significant decline in the price of Intercont’s Class A Ordinary Shares or rendering them worthless. For further information, see “</w:t>
      </w:r>
      <w:r>
        <w:rPr>
          <w:rFonts w:ascii="Times New Roman PS Std;serif" w:hAnsi="Times New Roman PS Std;serif"/>
          <w:b w:val="false"/>
          <w:i/>
          <w:caps w:val="false"/>
          <w:smallCaps w:val="false"/>
          <w:sz w:val="20"/>
        </w:rPr>
        <w:t>Risk Factors — Risks Related to Our Corporate Structure</w:t>
      </w:r>
      <w:r>
        <w:rPr>
          <w:rFonts w:ascii="Times New Roman PS Std;serif" w:hAnsi="Times New Roman PS Std;serif"/>
          <w:b w:val="false"/>
          <w:i w:val="false"/>
          <w:caps w:val="false"/>
          <w:smallCaps w:val="false"/>
          <w:sz w:val="20"/>
        </w:rPr>
        <w:t>” commencing on page 33.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Intercont has one (1) direct subsidiary in Singapore, one (1) direct subsidiary in the British Virgin Islands (the “BVI Subsidiary”), and five (5) 100% owned indirect subsidiaries in Hong Kong (the “Hong Kong Subsidiaries”) through our BVI Subsidiary.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certain legal and operational risks associated with our Hong Kong Subsidiaries, including changes in demand, economic and political developments and regulatory changes in Hong Kong, which will have a significant effect on our business, results of operations and financial condition. Hong Kong is a special administrative region of the People’s Republic of China (“PRC”) and the basic policies of the PRC regarding Hong Kong are reflected in the Basic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Law of the Hong Kong Special Administrative Region of the People’s Republic of China (the “Basic Law”), namely, Hong Kong’s constitutional document, which provides Hong Kong with a high degree of autonomy and executive, legislative and independent judicial powers, including that of final adjudication under the principle of “one country, two systems”. Accordingly, we believe the laws and regulations of the PRC do not currently have any material impact on our business, financial condition or results of operations. However, there is no assurance that there will not be any changes in the economic, political and legal environment in Hong Kong in the future. All of the legal and operational risks associated in operating in the PRC also apply to the operations of our Hong Kong Subsidiaries, and we face the risks and uncertainties associated with the complex and evolving PRC laws and regulations, as to whether and how the recent and future PRC government statements and regulatory developments (such as those relating to data security or anti-monopoly) would be applicable to our Hong Kong Subsidiaries and us, and as to the possibilities that the PRC government may exercise significant oversight over the conduct of business in Hong Kong. If there is any significant change to current political arrangements between PRC and Hong Kong or the PRC government exerts more oversight and control over Hong Kong-based companies, a company operated in Hong Kong may face similar regulatory risks as those operated in the mainland of China, including its ability to offer securities to investors, list its securities on a U.S. or other foreign exchange, conduct its business, accept foreign investment, move money out of Hong Kong to distribute earnings or pay dividends or to reinvest in its business outside of Hong Kong. In light of the foregoing, there are risks and uncertainties which we cannot foresee, and policies, rules and regulations and the enforcement of laws in the PRC can change quickly with little or no advance notice, and our assertions and beliefs of the risk imposed by the PRC legal and regulatory system cannot be certain. There are risks that the PRC government may intervene or influence our current and future operations in Hong Kong at any time, or may exert more control over offerings conducted overseas and/or foreign investment in issuers likes ourselves. If the PRC government intervenes or influences our current and future operations in Hong Kong in the future, the Chinese regulatory authorities may disallow the holding company structure of us, which would likely result in a material change in our operations and a material change in the value of the Class A Ordinary Shares, including that it could cause the value of the Class A Ordinary Shares to significantly decline or become worthless. In addition, any actions by the PRC government to exert more oversight and control over offerings that are conducted overseas and/or foreign investment in Hong Kong-based issuers could significantly limit or completely hinder our ability to offer or continue to offer securities to investors and cause the value of such securities to significantly decline or be worthless. See “</w:t>
      </w:r>
      <w:r>
        <w:rPr>
          <w:rFonts w:ascii="Times New Roman PS Std;serif" w:hAnsi="Times New Roman PS Std;serif"/>
          <w:b w:val="false"/>
          <w:i/>
          <w:caps w:val="false"/>
          <w:smallCaps w:val="false"/>
          <w:sz w:val="20"/>
        </w:rPr>
        <w:t>Risk Factors — Risks Related to Doing Business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 Hong Kong — Our business, financial condition and results of operations, and/or the value of Intercont’s Class A Ordinary Shares or our ability to offer or continue to offer securities to investors may be materially and adversely affected to the extent the laws and regulations of the PRC become applicable to a company such as us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main legislation in Hong Kong concerning data privacy is the Personal Data (Privacy) Ordinance (Chapter 486 of the Laws of Hong Kong) (the “PDPO”), which regulates the collection, usage, storage, and transfer of personal data and imposes a statutory duty on data users to comply with the six data protection principles contained therein. We confirm that, to the best of our knowledge, information, and belief, as of the date of this prospectus, each of the Hong Kong Subsidiaries has complied with the laws and requirements in respect of data privacy in Hong Kong. However, the laws on data privacy are constantly evolving and may be subject to varying interpretations, resulting in uncertainties about the scope of our responsibilities in that regard. Failure to comply with the data privacy requirements in a timely manner, or at all, may subject us or our Hong Kong Subsidiaries to various potential consequences, including government enforcement actions and investigations, fines, penalties, imprisonment and suspension or disruption of the Hong Kong Subsidiaries’ operations, as well as potential civil proceedings. See “</w:t>
      </w:r>
      <w:r>
        <w:rPr>
          <w:rFonts w:ascii="Times New Roman PS Std;serif" w:hAnsi="Times New Roman PS Std;serif"/>
          <w:b w:val="false"/>
          <w:i/>
          <w:caps w:val="false"/>
          <w:smallCaps w:val="false"/>
          <w:sz w:val="20"/>
        </w:rPr>
        <w:t>Risk Factors — Risks Related to Doing Business in Hong Kong — Our Shipping Subsidiaries are subject to various evolving Hong Kong laws and regulations regarding data privacy, which could subject them to government enforcement actions and investigations, fines, penalties, and suspension or disruption of their operations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Competition Ordinance (Chapter 619 of the Laws of Hong Kong) prohibits and deters undertakings in all sectors from adopting anti-competitive conduct which has the object or effect of preventing, restricting, or distorting competition in Hong Kong. It provides for general prohibitions in three major areas of anti-competitive conduct referred to as the first conduct rule, the second conduct rule, and the merger rule. See “</w:t>
      </w:r>
      <w:r>
        <w:rPr>
          <w:rFonts w:ascii="Times New Roman PS Std;serif" w:hAnsi="Times New Roman PS Std;serif"/>
          <w:b w:val="false"/>
          <w:i/>
          <w:caps w:val="false"/>
          <w:smallCaps w:val="false"/>
          <w:sz w:val="20"/>
        </w:rPr>
        <w:t>Risk Factors — Risks Related to Doing Business in Hong Kong — Failure to comply with Hong Kong Competition Law may result in material and adverse effect on our business, financial condition and results of operations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consulting our counsel to Hong Kong law, Lawrence Chan &amp; Co., we do not consider the said data privacy and anti-competition laws and regulations in Hong Kong restrict our ability to conduct our business, accept foreign investment or impose limitations on our ability to list on any U.S. or foreign stock exchange.</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we generate all of our revenues from our Hong Kong Subsidiaries. Cash may be transferred among Intercont and its Hong Kong Subsidiaries, typically transferred through inter-company loans, to lend to and borrow from each other from time to time for business operation purposes. For the years ended June 30, 2025, 2024 and 2023, inter-company cash transfers among Intercont and its subsidiaries amounted to $50,000, $50,000 and $nil, respectively. For the period of the six months period ended December 31, 2025 and 2025, inter-company cash transfers among Intercont and its subsidiaries amounted to $84,337 and $50,000. No transfers of other assets have occurred among Intercont and its subsidiaries. Under the current laws of Hong Kong, except for the requirement of maintaining sufficient fund for the Hong Kong Subsidiaries to remain solvent as a going concern and meet its contractual obligations owed to third parties prohibiting or restricting dividend distributions, these Hong Kong Subsidiaries are not subject to restrictions of distributing funds out of distributable profits to the holding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 to the legal opinion of Lawrence Chan &amp; Co., our counsel to Hong Kong law, there are currently no such restrictions on foreign exchange and our ability to transfer cash or assets between Intercont and the Hong Kong Subsidiaries. While there are currently no such restrictions on foreign exchange and our ability to transfer cash or assets between Intercont and the Hong Kong Subsidiaries, if certain PRC laws and regulations, including existing laws and regulations and those enacted or promulgated in the future, were to become applicable to us, and to the extent our cash or assets are in Hong Kong or a Hong Kong entity (such as the Hong Kong Subsidiaries), such funds or assets may not be available to fund operations or for other use outside of Hong Kong due to the imposition of restrictions, limitations, or procedures on transfer of funds or assets by the PRC government. Any limitation on the ability of any of the Hong Kong Subsidiaries to pay dividends or make other distributions to its holding company could materially and adversely limit our ability to grow, make investments or acquisitions that could be beneficial to our business, pay dividends, or otherwise fund and conduct our business. In addition, if any of the Hong Kong Subsidiaries incurs debt on its own behalf in the future, the instruments governing such debt may restrict its ability to pay dividends. See “</w:t>
      </w:r>
      <w:r>
        <w:rPr>
          <w:rFonts w:ascii="Times New Roman PS Std;serif" w:hAnsi="Times New Roman PS Std;serif"/>
          <w:b w:val="false"/>
          <w:i/>
          <w:caps w:val="false"/>
          <w:smallCaps w:val="false"/>
          <w:sz w:val="20"/>
        </w:rPr>
        <w:t>Risk Factors — Risks Related to Doing Business in Hong Kong — Intercont is an offshore holding company incorporated in the Cayman Islands. As a holding company with no material operations, Intercont’s operations are conducted by its subsidiaries in Asia, currently mostly in Hong Kong</w:t>
      </w:r>
      <w:r>
        <w:rPr>
          <w:rFonts w:ascii="Times New Roman PS Std;serif" w:hAnsi="Times New Roman PS Std;serif"/>
          <w:b w:val="false"/>
          <w:i w:val="false"/>
          <w:caps w:val="false"/>
          <w:smallCaps w:val="false"/>
          <w:sz w:val="20"/>
        </w:rPr>
        <w:t>” commencing on page 35.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in a competitive industry and a highly competitive market. We may be subject to a variety of laws and other obligations regarding competition laws in Hong Kong, and any failure to comply with applicable laws and obligations could have a material and adverse effect on our business, financial condition and results of operations. We face significant competition in the market due to the presence of a large amount shipping service providers. See “Risk Factors — Risks Related to Doing Business in Hong Kong — Failure to comply with Hong Kong Competition Law may result in material and adverse effect on our business, financial condition and results of operations” commencing on page 40.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a number of prohibitions, restrictions and potential delisting risk under the Holding Foreign Companies Accountable Act, or the “HFCAA”. Pursuant to the HFCAA and the related regulations, if we have filed an audit report issued by a registered public accounting firm that the Public Company Accounting Oversight Board (the “PCAOB”) has determined that it is unable to inspect and investigate completely, the United States Securities and Exchange Commission (the “SEC”) will identify us as a “Commission-identified Issuer,” and the trading of our securities on any U.S. national securities exchange, as well as any over-the-counter trading in the United States, will be prohibited if we are identified as a Commission-identified Issuer for two consecutive years. 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 On December 16, 2021, the PCAOB issued a report on its determinations that it is unable to inspect or investigate completely PCAOB-registered public accounting firms headquartered in mainland China and in Hong Kong, because of positions taken by PRC authorities in those jurisdictions. Our former auditor, UHY LLP (“UHY”), is an independent registered public accounting firm that is headquartered in New York, New York. UHY has been inspected by the PCAOB on a regular basis and is not among such accounting firms. Our current auditor, Assentsure PAC (“Assentsure”), is an independent registered public accounting firm that is headquartered in Singapore, Singapore and is not among such accounting firms. In August 2022, the PCAOB, the China Securities Regulatory Commission, or the CSRC, and the Ministry of Finance of the PRC signed a Statement of Protocol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PCAOB 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On February 24, 2023, the CSRC, the Ministry of Finance, the State Secrecy Administration, and the State Archives Bureau jointly issued the Provisions on Strengthening Confidentiality and Archives Administration in Respect of Overseas Issuance and Listing of Securities by Domestic Enterprises, or the Provisions, which aim to standardize confidentiality and archives administration in respect of direct or indirect overseas issuance of securities by domestic enterprises of the PRC and came into effect on March 31, 2023. Given that the Statement of Protocol and the Provisions have just been issued and that official guidance and related implementation rules of the Provisions have not been issued and the Provisions may be subject to further clarifications during subsequent implementation, should PRC authorities obstruct or otherwise fail to facilitate the PCAOB’s access in the future, the PCAOB may consider the need to issue a new determination. However, if the PCAOB determines in the future that it no longer has full access to inspect and investigate completely accounting firms in mainland China and Hong Kong and if we use an accounting firm headquartered in one of these jurisdictions to issue an audit report on our financial statements filed with the SEC by then, we may be identified as a Commission-Identified Issuer following our filing of an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If Intercont’s Class A Ordinary Shares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Intercont’s Class A Ordinary Shares when you wish to do so, and the risk and uncertainty associated with delisting would have a negative impact on the price of Intercont’s Class A Ordinary Shares. See “</w:t>
      </w:r>
      <w:r>
        <w:rPr>
          <w:rFonts w:ascii="Times New Roman PS Std;serif" w:hAnsi="Times New Roman PS Std;serif"/>
          <w:b w:val="false"/>
          <w:i/>
          <w:caps w:val="false"/>
          <w:smallCaps w:val="false"/>
          <w:sz w:val="20"/>
        </w:rPr>
        <w:t>Risk Factors — Risks Related to Intercont’s Class A Ordinary Shares and this Offering — 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w:t>
      </w:r>
      <w:r>
        <w:rPr>
          <w:rFonts w:ascii="Times New Roman PS Std;serif" w:hAnsi="Times New Roman PS Std;serif"/>
          <w:b w:val="false"/>
          <w:i w:val="false"/>
          <w:caps w:val="false"/>
          <w:smallCaps w:val="false"/>
          <w:sz w:val="20"/>
        </w:rPr>
        <w:t>commencing on page 44 for a detailed discussion.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aware that the PRC government recently initiated a series of statements and regulatory developments to regulate business operations in the mainland of China, some of which were with little advance notice, including cracking down on illegal activities in the securities market, enhancing supervision over China-based companies listed overseas, adopting new measures to extend the scope of cybersecurity reviews, expanding the efforts in anti-monopoly enforcement. Because we conduct substantially all of our businesses in Hong Kong and Singapore and have no operations in the mainland of China, we do not believe these statements and regulatory developments would apply to us. However, should these statements or regulatory actions apply to us, including our Hong Kong operations, in the future, or if we expand our business operations into the mainland of China in some ways such that we become subject to them to a greater extent, our ability to conduct our business, invest into the mainland of China as foreign investments or accept foreign investments, or list on a U.S. or other overseas exchange may be restricted. The failure to comply with these PRC regulations could result in penalties and other regulatory actions against us and may materially and adversely affect our business and results of operations. In addition, the PRC government has significant authority to intervene or influence the mainland of China or Hong Kong operations of an offshore holding company, such as ours, at any time. These risks, together with uncertainties in the PRC legal system and the interpretation and enforcement of PRC laws, regulations, and policies, could hinder our ability to offer or continue to offer Intercont’s Class A Ordinary Shares, result in a material adverse change to our business operations, and damage our reputation, which could cause Intercont’s Class A Ordinary Shares to significantly decline in value or become worthless. For a detailed description of risks relating to doing business in Hong Kong, see “</w:t>
      </w:r>
      <w:r>
        <w:rPr>
          <w:rFonts w:ascii="Times New Roman PS Std;serif" w:hAnsi="Times New Roman PS Std;serif"/>
          <w:b w:val="false"/>
          <w:i/>
          <w:caps w:val="false"/>
          <w:smallCaps w:val="false"/>
          <w:sz w:val="20"/>
        </w:rPr>
        <w:t>Risk Factors — Risks Related to Doing Business in Hong Kong</w:t>
      </w:r>
      <w:r>
        <w:rPr>
          <w:rFonts w:ascii="Times New Roman PS Std;serif" w:hAnsi="Times New Roman PS Std;serif"/>
          <w:b w:val="false"/>
          <w:i w:val="false"/>
          <w:caps w:val="false"/>
          <w:smallCaps w:val="false"/>
          <w:sz w:val="20"/>
        </w:rPr>
        <w:t>” commencing on page 35.</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aware that, on February 17, 2023, the CSRC released the Trial Administrative Measures of Overseas Securities Offering and Listing by Domestic Companies, or the Trial Measures, and five supporting guidelines, which came into effect on March 31, 2023. Pursuant to the Trial Measures, PRC domestic companies that seek to offer or list securities overseas, both directly and indirectly, should fulfill the filing procedure to the CSRC. On the same day, the CSRC held a press conference for the release of the Trial Measures and issued the Notice on Administration for the Filing of Overseas Offering and Listing by Domestic Companies, which, among others, clarifies that (i) a six-month transition period will be granted to PRC domestic companies which, prior to the effective date of the Trial Measures, have already obtained the approval from overseas regulatory authorities or stock exchanges, such as completion of registration in the market of the United States, but have not completed the overseas listing; and (ii) PRC domestic companies that have already submitted valid applications for overseas offering and listing but have not obtained approval from overseas regulatory authorities or stock exchanges on or prior to the effective date of the Trial Measures, may reasonably arrange the timing for submitting their filing applications with the CSRC, and shall complete the filing before completion of their overseas offering and listing. To determine whether an overseas offering and listing will be deemed as “the indirect overseas offering and listing” by a PRC domestic company, the Trial Measures provides that (i) any overseas offering and listing made by an issuer that meets both the following explicit criteria will be determined as an “indirect overseas offering and listing”: (a) 50% or more of the issuer’s operating revenue, total profit, total assets or net assets as documented in its audited consolidated financial statements for the most recent accounting year is accounted for by PRC domestic companies (“Criteria A”), and (b) the main parts of the issuer’s business activities are conducted in mainland China, or its main places of business are located in mainland China, or the senior managers in charge of its business operation and management are mostly Chinese citizens or domiciled in mainland China; and (ii) the determination as to whether or not an overseas offering and listing by a PRC domestic company is an “indirect overseas offering and listing”, shall be made on a “substance over form” basis (the “Discretional Clause”). We do not believe that we are subject to the Trial Measures because we conduct substantially all of our businesses in Hong Kong and Singapore, and have no operations in the mainland of China and our operating revenue, total profit, total assets or net assets were not derived from PRC domestic companies. However, we cannot rule out the possibility that CSRC would take a different view when determining whether to apply the Discretional Clause on us. As a result, if the CSRC determines that we shall complete the filing based on the Discretional Clause and we are later required to fulfill the filing procedure with the CSRC, we cannot guarantee that we will complete the CSRC filing procedure. For a description of relevant risks related to this offering, see “</w:t>
      </w:r>
      <w:r>
        <w:rPr>
          <w:rFonts w:ascii="Times New Roman PS Std;serif" w:hAnsi="Times New Roman PS Std;serif"/>
          <w:b w:val="false"/>
          <w:i/>
          <w:caps w:val="false"/>
          <w:smallCaps w:val="false"/>
          <w:sz w:val="20"/>
        </w:rPr>
        <w:t>Risk Factors — Risks Related to Intercont’s Class A Ordinary Shares and this Offering — Although we do not believe we are required to file with the China Securities Regulatory Commission for this offering under the Trial Administrative Measures of Overseas Securities Offering and Listing by Domestic Enterprises promulgated in February 2023, if we are required to do so, we cannot assure you that we will be able to timely make such filing, in which case we may face sanctions by the CSRC or other PRC regulatory agencies for failure to timely file for this offering</w:t>
      </w:r>
      <w:r>
        <w:rPr>
          <w:rFonts w:ascii="Times New Roman PS Std;serif" w:hAnsi="Times New Roman PS Std;serif"/>
          <w:b w:val="false"/>
          <w:i w:val="false"/>
          <w:caps w:val="false"/>
          <w:smallCaps w:val="false"/>
          <w:sz w:val="20"/>
        </w:rPr>
        <w:t>” commencing on page 45.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Lawrence Chan &amp; Co., our counsel with respect to Hong Kong law, has advised us that judgment of United States courts will not be directly enforced in Hong Kong. There are currently no treaties or other arrangements providing for reciprocal enforcement of foreign judgments between Hong Kong and the U.S. However, an action can be brought upon a foreign judgment in Hong Kong courts. That is to say, a foreign judgment itself may form the basis of a cause of action since the judgment may be regarded as creating a debt between the parties to it. In an action for enforcement of a foreign judgment in Hong Kong, the enforcement is subject to various conditions, including but not limited to, that the foreign judgment is a final judgment conclusive upon the merits of the claim,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toa defendant in an action in Hong Kong brought on the basis of a foreign judgment include lack of jurisdiction, breach of natural justice, fraud, and contrary to public policy. However, a separate legal action for debt must be commenced in Hong Kong in order to recover such debt from the judgment debtor.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under the federal securities laws and will be subject to reduced public company reporting requirements. Please read the disclosures beginning on page 11 of this prospectus for more information.</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following the completion of this offering, assuming a full offering of [8,000,000] Class A Ordinary Shares but not taking into account any Class A Ordinary Shares that are issuable under the Warrants, our chairman of the board of directors and chief executive officer, Ms. Muchun Zhu, will hold approximately [•]% of the aggregate voting power of our issued and outstanding ordinary shares and will be able to determine all matters requiring approval by our shareholders. As such, we will continue to be deemed a “controlled company” under Nasdaq Listing Rules 5615(c). However, even if we are deemed to be a “controlled company,” we do not intend to avail ourselves of the corporate governance exemptions afforded to a “controlled company” under the Nasdaq Listing Rules.</w:t>
      </w:r>
    </w:p>
    <w:tbl>
      <w:tblPr>
        <w:tblW w:w="7238" w:type="dxa"/>
        <w:jc w:val="left"/>
        <w:tblInd w:w="0" w:type="dxa"/>
        <w:tblLayout w:type="fixed"/>
        <w:tblCellMar>
          <w:top w:w="0" w:type="dxa"/>
          <w:left w:w="0" w:type="dxa"/>
          <w:bottom w:w="0" w:type="dxa"/>
          <w:right w:w="0" w:type="dxa"/>
        </w:tblCellMar>
      </w:tblPr>
      <w:tblGrid>
        <w:gridCol w:w="3886"/>
        <w:gridCol w:w="146"/>
        <w:gridCol w:w="1141"/>
        <w:gridCol w:w="584"/>
        <w:gridCol w:w="146"/>
        <w:gridCol w:w="800"/>
        <w:gridCol w:w="535"/>
      </w:tblGrid>
      <w:tr>
        <w:trPr/>
        <w:tc>
          <w:tcPr>
            <w:tcW w:w="38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and </w:t>
              <w:br/>
              <w:t xml:space="preserve">Accompanying </w:t>
              <w:br/>
              <w:t>Warrant</w:t>
            </w:r>
          </w:p>
        </w:tc>
        <w:tc>
          <w:tcPr>
            <w:tcW w:w="146" w:type="dxa"/>
            <w:tcBorders/>
            <w:vAlign w:val="bottom"/>
          </w:tcPr>
          <w:p>
            <w:pPr>
              <w:pStyle w:val="TableContents"/>
              <w:bidi w:val="0"/>
              <w:spacing w:before="0" w:after="283"/>
              <w:jc w:val="left"/>
              <w:rPr/>
            </w:pPr>
            <w:r>
              <w:rPr/>
              <w:t> </w:t>
            </w:r>
          </w:p>
        </w:tc>
        <w:tc>
          <w:tcPr>
            <w:tcW w:w="13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 xml:space="preserve">(assuming </w:t>
              <w:br/>
              <w:t xml:space="preserve">maximum </w:t>
              <w:br/>
              <w:t>offering)</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Public offering price</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5" w:type="dxa"/>
            <w:tcBorders/>
            <w:shd w:fill="CCEEFF" w:val="clear"/>
            <w:vAlign w:val="bottom"/>
          </w:tcPr>
          <w:p>
            <w:pPr>
              <w:pStyle w:val="TableContents"/>
              <w:bidi w:val="0"/>
              <w:spacing w:before="0" w:after="283"/>
              <w:jc w:val="left"/>
              <w:rPr/>
            </w:pPr>
            <w:r>
              <w:rPr/>
              <w:t> </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Placement agent commissions(1)</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5" w:type="dxa"/>
            <w:tcBorders/>
            <w:vAlign w:val="bottom"/>
          </w:tcPr>
          <w:p>
            <w:pPr>
              <w:pStyle w:val="TableContents"/>
              <w:bidi w:val="0"/>
              <w:spacing w:before="0" w:after="283"/>
              <w:jc w:val="left"/>
              <w:rPr/>
            </w:pPr>
            <w:r>
              <w:rPr/>
              <w:t> </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before expenses, to us(2)(3)</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5" w:type="dxa"/>
            <w:tcBorders/>
            <w:shd w:fill="CCEEFF" w:val="clear"/>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We have agreed to pay the placement agent a cash fee equal to 5% of the gross proceeds raised in this offering together with a 1% non-accountable expense allowance. We have also agreed to reimburse the placement agent for certain of its offering-related expenses, including reimbursement for legal fees and other out-of-pocket fees, costs and expenses in the amount of up to $100,000. For more information about the compensation to be received by the placement agent, see “</w:t>
      </w:r>
      <w:r>
        <w:rPr>
          <w:rFonts w:ascii="Times New Roman PS Std;serif" w:hAnsi="Times New Roman PS Std;serif"/>
          <w:b w:val="false"/>
          <w:i/>
          <w:caps w:val="false"/>
          <w:smallCaps w:val="false"/>
          <w:sz w:val="18"/>
        </w:rPr>
        <w:t>Plan of Distribution</w:t>
      </w:r>
      <w:r>
        <w:rPr>
          <w:rFonts w:ascii="Times New Roman PS Std;serif" w:hAnsi="Times New Roman PS Std;serif"/>
          <w:b w:val="false"/>
          <w:i w:val="false"/>
          <w:caps w:val="false"/>
          <w:smallCaps w:val="false"/>
          <w:sz w:val="18"/>
        </w:rPr>
        <w: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Because there is no minimum number of securities or amount of proceeds required as a condition to closing in this offering, the actual public offering amount, placement agent fees and proceeds to us, if any, are not presently determinable and may be substantially less than the total maximum offering amounts set forth above. For more information, see “</w:t>
      </w:r>
      <w:r>
        <w:rPr>
          <w:rFonts w:ascii="Times New Roman PS Std;serif" w:hAnsi="Times New Roman PS Std;serif"/>
          <w:b w:val="false"/>
          <w:i/>
          <w:caps w:val="false"/>
          <w:smallCaps w:val="false"/>
          <w:sz w:val="18"/>
        </w:rPr>
        <w:t>Plan of Distribution</w:t>
      </w:r>
      <w:r>
        <w:rPr>
          <w:rFonts w:ascii="Times New Roman PS Std;serif" w:hAnsi="Times New Roman PS Std;serif"/>
          <w:b w:val="false"/>
          <w:i w:val="false"/>
          <w:caps w:val="false"/>
          <w:smallCaps w:val="false"/>
          <w:sz w:val="18"/>
        </w:rPr>
        <w: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amount of offering proceeds to us presented in this table does not give effect to any exercise of the Warrants.</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Securities and Exchange Commission nor any other regulatory body has approved or disapproved of these securities or passed upon the accuracy or adequacy of this prospectus. Any representation to the contrary is a criminal offense.</w:t>
      </w:r>
    </w:p>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Sole Placement Agent</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076450"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76450" cy="390525"/>
                    </a:xfrm>
                    <a:prstGeom prst="rect">
                      <a:avLst/>
                    </a:prstGeom>
                  </pic:spPr>
                </pic:pic>
              </a:graphicData>
            </a:graphic>
          </wp:inline>
        </w:drawing>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date of this prospectus is            ,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3">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2">
              <w:r>
                <w:rPr>
                  <w:rStyle w:val="InternetLink"/>
                  <w:rFonts w:ascii="Times New Roman PS Std;serif" w:hAnsi="Times New Roman PS Std;serif"/>
                  <w:b w:val="false"/>
                  <w:i w:val="false"/>
                  <w:caps w:val="false"/>
                  <w:smallCaps w:val="false"/>
                  <w:sz w:val="20"/>
                </w:rPr>
                <w:t xml:space="preserve">THE OFFERING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992026">
              <w:r>
                <w:rPr>
                  <w:rStyle w:val="InternetLink"/>
                  <w:rFonts w:ascii="Times New Roman PS Std;serif" w:hAnsi="Times New Roman PS Std;serif"/>
                  <w:b w:val="false"/>
                  <w:i w:val="false"/>
                  <w:caps w:val="false"/>
                  <w:smallCaps w:val="false"/>
                  <w:sz w:val="20"/>
                </w:rPr>
                <w:t xml:space="preserve">SUMMARY OF COMBINED FINANCIAL AND OPERATING DATA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21">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 xml:space="preserve">SPECIAL NOTE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 xml:space="preserve">DIVIDEND POLICY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 xml:space="preserve">CAPITALIZATION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 xml:space="preserve">DILUTION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 xml:space="preserve">ENFORCEABILITY OF CIVIL LIABILITIES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 xml:space="preserve">MANAGEMENT’S DISCUSSION AND ANALYSIS OF FINANCIAL CONDITION AND RESULTS OF OPERATIONS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 xml:space="preserve">BUSINESS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 xml:space="preserve">REGULATIONS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 xml:space="preserve">PRINCIPAL SHAREHOLDERS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 xml:space="preserve">RELATED PARTY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 xml:space="preserve">DESCRIPTION OF SHARE CAPITAL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 xml:space="preserve">SHARES ELIGIBLE FOR FUTURE SALE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 xml:space="preserve">DESCRIPTION OF SECURITIES WE ARE OFFERING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 xml:space="preserve">PLAN OF DISTRIBUTION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 xml:space="preserve">EXPENSES RELATED TO THIS OFFERING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 xml:space="preserve">WHERE YOU CAN FIND ADDITIONAL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2018">
              <w:r>
                <w:rPr>
                  <w:rStyle w:val="InternetLink"/>
                  <w:rFonts w:ascii="Times New Roman PS Std;serif" w:hAnsi="Times New Roman PS Std;serif"/>
                  <w:b w:val="false"/>
                  <w:i w:val="false"/>
                  <w:caps w:val="false"/>
                  <w:smallCaps w:val="false"/>
                  <w:sz w:val="20"/>
                </w:rPr>
                <w:t xml:space="preserve">INDEX TO COMBINED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 should rely only on the information contained in this prospectus or any prospectus supplement or amendment. Neither we, nor the placement agent, have authorized any other person to provide you with information that is different from, or adds to, that contained in this prospectus. If anyone provides you with different or inconsistent information, you should not rely on it. Neither we nor the placement agent take responsibility for, and can provide no assurance as to the reliability of, any other information that others may give you. You should assume that the information contained in this prospectus or any free writing prospectus is accurate only as of the date of this prospectus, regardless of the time of delivery of this prospectus or of any sale of our securities. Our business, financial condition, results of operations and prospects may have changed since that date. We are not making an offer of any securities in any jurisdiction in which such offer is unlawful.</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public offering and the distribution of this prospectus applicable to that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23"/>
      <w:bookmarkEnd w:id="1"/>
      <w:r>
        <w:rPr>
          <w:rFonts w:ascii="Times New Roman PS Std;serif" w:hAnsi="Times New Roman PS Std;serif"/>
          <w:b/>
          <w:i w:val="false"/>
          <w:caps w:val="false"/>
          <w:smallCaps w:val="false"/>
          <w:sz w:val="20"/>
        </w:rPr>
        <w:t xml:space="preserve">PROSPECTUS SUMMARY </w:t>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Intercont’s Class A Ordinary Shares discussed under “Risk Factors” and information contained in “Management’s Discussion and Analysis of Financial Condition and Results of Operations” before deciding whether to buy Intercont’s Class A Ordinary Shares. As used in this prospectus, “we,” “us,” “the Group,” and “our,” refer to Intercont (Cayman) Limited, together as a group with its subsidiaries.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Mission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aim to leave green footprints across the oceans through our maritime shipping and seaborne pulping operation.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Corporate History and Structure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 is a Cayman exempted company formed on July 4, 2023. On March 27, 2024, Intercont completed a reorganization of its corporate structure. Intercont owns a 100% equity interest in each of Fortune Ocean Holdings Limited, a British Virgin Islands holding company formed on January 22, 2024 (“Fortune Ocean” or the “BVI Subsidiary”), and Singapore Openwindow Technology Pte. Ltd., a Singapore private company limited by shares formed on July 28, 2023 (“Openwindow” or the “Singapore Subsidiary”).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14, 2024, Fortune Ocean became the 100% owner of Top Wisdom Shipping Management Co., Limited, a Hong Kong company formed on February 1, 2013 (“Top Wisdom”), Top Creation International (HK) Limited, a Hong Kong company formed on July 29, 2011 (“Top Creation”), Top Moral Shipping Limited, a Hong Kong company formed on December 12, 2013 (“Top Moral”), Top Legend Shipping Co., Limited, a Hong Kong company formed on March 6, 2013 (“Top Legend”), and Max Bright Marine Service Co., Limited, a Hong Kong company formed on April 2, 2014 (“Max Bright,” and together with Top Wisdom, Top Creation, Top Moral, and Top Legend, the “Shipping Subsidiaries” or the “Hong Kong Subsidiaries”).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Group has conducted its international maritime shipping business through the Shipping Subsidiaries since 2011. Openwindow plans to launch its seaborne pulping business in an orderly manner at an appropriate time once external economic and political conditions stabilize.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31, 2025, Intercont closed its initial public offering of its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diagram illustrates our corporate structure as of the date of this prospectus.</w:t>
      </w:r>
    </w:p>
    <w:p>
      <w:pPr>
        <w:pStyle w:val="TextBody"/>
        <w:keepNext w:val="true"/>
        <w:pageBreakBefore w:val="false"/>
        <w:widowControl/>
        <w:pBdr/>
        <w:bidi w:val="0"/>
        <w:spacing w:before="240" w:after="283"/>
        <w:jc w:val="center"/>
        <w:rPr>
          <w:caps w:val="false"/>
          <w:smallCaps w:val="false"/>
          <w:bdr w:val="single" w:sz="8" w:space="10" w:color="000000"/>
        </w:rPr>
      </w:pPr>
      <w:r>
        <w:rPr>
          <w:caps w:val="false"/>
          <w:smallCaps w:val="false"/>
          <w:bdr w:val="single" w:sz="8" w:space="10" w:color="000000"/>
        </w:rPr>
        <w:drawing>
          <wp:inline distT="0" distB="0" distL="0" distR="0">
            <wp:extent cx="5705475" cy="22155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05475" cy="221551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Group operates its global maritime shipping services through its Shipping Subsidiaries. The Group’s global maritime shipping business consists of two revenue streams, time chartering and vessel management services. The Group’s global maritime shipping business generated US$25.1 million, US$25.5 million, US$32.4 million, US$12.6 million and US$13.4 million revenue in the fiscal years ended June 30, 2025, 2024 and 2023, and for the six months ended December 31, 2025 and 2024, respectively, which constitute 100% of the Group’s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Group plans to operate its seaborne pulping business through Openwindow and build its seaborne pulping business upon its long-established global maritime shipping operations. The Group expects to launch its seaborne pulping business through a combination of self-owned vessels and partnerships with other shipowners for leased-in vessels, sourcing its primary raw materials from North America through multiple channels. However, several changes in U.S. foreign trade and tax regulations during the past fiscal year have introduced uncertainties to the upstream supply. Once external economic and political conditions stabilize, the Company intends to initiate its seaborne business at an appropriate time.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Competitive Advantages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believe the following competitive strengths have contributed and will continue to contribute to our success.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Global maritime shipping Services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Established Track Record in Global maritime shipping.    </w:t>
      </w:r>
      <w:r>
        <w:rPr>
          <w:rFonts w:ascii="Times New Roman PS Std;serif" w:hAnsi="Times New Roman PS Std;serif"/>
          <w:b w:val="false"/>
          <w:i w:val="false"/>
          <w:caps w:val="false"/>
          <w:smallCaps w:val="false"/>
          <w:sz w:val="20"/>
          <w:bdr w:val="single" w:sz="8" w:space="10" w:color="000000"/>
        </w:rPr>
        <w:t>Our Shipping Subsidiaries and management team have been in the global maritime shipping business for over a decade. Over the years, our Shipping Subsidiaries have maintained stable business relationships with critical suppliers and customers.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Strong Balance Sheet Positioned for Additional Growth.    </w:t>
      </w:r>
      <w:r>
        <w:rPr>
          <w:rFonts w:ascii="Times New Roman PS Std;serif" w:hAnsi="Times New Roman PS Std;serif"/>
          <w:b w:val="false"/>
          <w:i w:val="false"/>
          <w:caps w:val="false"/>
          <w:smallCaps w:val="false"/>
          <w:sz w:val="20"/>
          <w:bdr w:val="single" w:sz="8" w:space="10" w:color="000000"/>
        </w:rPr>
        <w:t>The Group has maintained a stable financial position, and has maintained its liquidity position throughout the downturn in shipping markets through prudent financial risk management. The Group’s moderate financial leverage, together with its current expectation of continued access to bank financing, has strongly positioned the Group to take advantage of further growth opportunities.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Experienced management team.    </w:t>
      </w:r>
      <w:r>
        <w:rPr>
          <w:rFonts w:ascii="Times New Roman PS Std;serif" w:hAnsi="Times New Roman PS Std;serif"/>
          <w:b w:val="false"/>
          <w:i w:val="false"/>
          <w:caps w:val="false"/>
          <w:smallCaps w:val="false"/>
          <w:sz w:val="20"/>
          <w:bdr w:val="single" w:sz="8" w:space="10" w:color="000000"/>
        </w:rPr>
        <w:t>The Group has an experienced team. Each management team member of the Shipping Subsidiaries has over ten years of experience in global maritime shipping. The management team’s deep experience and extensive relationships with ship owners, shippers, lenders, insurers, and other industry participants facilitate the smooth operation of the global maritime shipping sector.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Large cargo contracts base and strong relationships with key counterparties.    </w:t>
      </w:r>
      <w:r>
        <w:rPr>
          <w:rFonts w:ascii="Times New Roman PS Std;serif" w:hAnsi="Times New Roman PS Std;serif"/>
          <w:b w:val="false"/>
          <w:i w:val="false"/>
          <w:caps w:val="false"/>
          <w:smallCaps w:val="false"/>
          <w:sz w:val="20"/>
          <w:bdr w:val="single" w:sz="8" w:space="10" w:color="000000"/>
        </w:rPr>
        <w:t>Intercont has built a significant base of cargo contracts. Intercont has also established strong long-term global relationships with shipping companies, shipyards, trading houses, and brokers. Thus, Intercont has been able to match demands with supplies in a timely and efficient manner. In addition, a large cargo contracts base helps Intercont to better position its routes geographically and enables it to mitigate market volatility.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Seaborne Pulping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Light-asset</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business model.    </w:t>
      </w:r>
      <w:r>
        <w:rPr>
          <w:rFonts w:ascii="Times New Roman PS Std;serif" w:hAnsi="Times New Roman PS Std;serif"/>
          <w:b w:val="false"/>
          <w:i w:val="false"/>
          <w:caps w:val="false"/>
          <w:smallCaps w:val="false"/>
          <w:sz w:val="20"/>
          <w:bdr w:val="single" w:sz="8" w:space="10" w:color="000000"/>
        </w:rPr>
        <w:t>Unlike traditional shipping companies, Openwindow plans to operate the seaborne pulping business on a light-asset model. Openwindow expects to own only a limited number of pulping factory ships, but to lease most factory ships modified according to its specifications from shipowners. Under this model, it is expected that Openwindow may quickly scale up its business without incurring significant capital expenditures.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Product quality.    </w:t>
      </w:r>
      <w:r>
        <w:rPr>
          <w:rFonts w:ascii="Times New Roman PS Std;serif" w:hAnsi="Times New Roman PS Std;serif"/>
          <w:b w:val="false"/>
          <w:i w:val="false"/>
          <w:caps w:val="false"/>
          <w:smallCaps w:val="false"/>
          <w:sz w:val="20"/>
          <w:bdr w:val="single" w:sz="8" w:space="10" w:color="000000"/>
        </w:rPr>
        <w:t>Utilizing advanced equipment and procedures, Openwindow expects to be able to deliver what we believe to be high-quality pulp. Openwindow’s pulp is expected to contain less undissolved fiber and impurities than the Chinese national standard, making it readily available for the downstream paper mills’ processing without further treatment. The higher quality pulp is expected to provide Openwindow an edge against some of its competitors.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Targeted market.    </w:t>
      </w:r>
      <w:r>
        <w:rPr>
          <w:rFonts w:ascii="Times New Roman PS Std;serif" w:hAnsi="Times New Roman PS Std;serif"/>
          <w:b w:val="false"/>
          <w:i w:val="false"/>
          <w:caps w:val="false"/>
          <w:smallCaps w:val="false"/>
          <w:sz w:val="20"/>
          <w:bdr w:val="single" w:sz="8" w:space="10" w:color="000000"/>
        </w:rPr>
        <w:t>Openwindow’s pulp is expected to be suitable for making paper containers and packages, widely used in the logistics and delivery industry. With a large volume of online shopping transactions, we believe Asia’s market has a corresponding appetite for packaging materials. Openwindow expects to benefit from this specific segment of market.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Growth Strategies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Global maritime shipping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Organically grow our fleet</w:t>
      </w:r>
      <w:r>
        <w:rPr>
          <w:rFonts w:ascii="Times New Roman PS Std;serif" w:hAnsi="Times New Roman PS Std;serif"/>
          <w:b w:val="false"/>
          <w:i w:val="false"/>
          <w:caps w:val="false"/>
          <w:smallCaps w:val="false"/>
          <w:sz w:val="20"/>
          <w:bdr w:val="single" w:sz="8" w:space="10" w:color="000000"/>
        </w:rPr>
        <w:t>.    Our Shipping Subsidiaries plan to organically grow our fleet to increase our revenue and meet increasing demands. Our Shipping Subsidiaries expect to acquire two (2) additional vessels in the upcoming five years but our Shipping Subsidiaries have not entered into any contracts of acquisition of vessels as of the date of this prospectus.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Improve operation efficiency.    </w:t>
      </w:r>
      <w:r>
        <w:rPr>
          <w:rFonts w:ascii="Times New Roman PS Std;serif" w:hAnsi="Times New Roman PS Std;serif"/>
          <w:b w:val="false"/>
          <w:i w:val="false"/>
          <w:caps w:val="false"/>
          <w:smallCaps w:val="false"/>
          <w:sz w:val="20"/>
          <w:bdr w:val="single" w:sz="8" w:space="10" w:color="000000"/>
        </w:rPr>
        <w:t>We plan to improve the efficiency of our operations, by introducing more advanced technology to empower the chartering service. By better connecting the needs of shipowners and charters, as well as more efficiently arranging the vessel space, we expect to further increase the profit margin of the chartering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Consolidate the financial conditions.    </w:t>
      </w:r>
      <w:r>
        <w:rPr>
          <w:rFonts w:ascii="Times New Roman PS Std;serif" w:hAnsi="Times New Roman PS Std;serif"/>
          <w:b w:val="false"/>
          <w:i w:val="false"/>
          <w:caps w:val="false"/>
          <w:smallCaps w:val="false"/>
          <w:sz w:val="20"/>
          <w:bdr w:val="single" w:sz="8" w:space="10" w:color="000000"/>
        </w:rPr>
        <w:t>Some of our Shipping Subsidiaries’ vessels are financed, subjecting us to potential risks from interest rate changes and market volatilities. We plan to adjust our capital structure based on the outcome of our operations and market conditions to reduce risks.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Seaborne Pulping business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Increase the number of pulping factory ships</w:t>
      </w:r>
      <w:r>
        <w:rPr>
          <w:rFonts w:ascii="Times New Roman PS Std;serif" w:hAnsi="Times New Roman PS Std;serif"/>
          <w:b w:val="false"/>
          <w:i w:val="false"/>
          <w:caps w:val="false"/>
          <w:smallCaps w:val="false"/>
          <w:sz w:val="20"/>
          <w:bdr w:val="single" w:sz="8" w:space="10" w:color="000000"/>
        </w:rPr>
        <w:t>.    Openwindow has contacted a shipowner to set up a factory ship with specific specifications for its seaborne pulping operations and may proceed the cooperation depending on the external economic environment and market conditions. After it launches and operates steadily, Openwindow expects to duplicate the model to new factory ships. Openwindow expects to attain a fleet of eight (8) leased-in and self-owned factory ships in the future. Openwindow has not entered into any contracts to lease or acquire factory ships as of the date of this prospectus.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Expand product lines.    </w:t>
      </w:r>
      <w:r>
        <w:rPr>
          <w:rFonts w:ascii="Times New Roman PS Std;serif" w:hAnsi="Times New Roman PS Std;serif"/>
          <w:b w:val="false"/>
          <w:i w:val="false"/>
          <w:caps w:val="false"/>
          <w:smallCaps w:val="false"/>
          <w:sz w:val="20"/>
          <w:bdr w:val="single" w:sz="8" w:space="10" w:color="000000"/>
        </w:rPr>
        <w:t>The current designs of Openwindow’s equipment and technology are expected to work best for making pulp out of old corrugated containers. Openwindow plans to improve its technology to manufacture pulp out of other materials and for other purposes.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Acquire more customers.    </w:t>
      </w:r>
      <w:r>
        <w:rPr>
          <w:rFonts w:ascii="Times New Roman PS Std;serif" w:hAnsi="Times New Roman PS Std;serif"/>
          <w:b w:val="false"/>
          <w:i w:val="false"/>
          <w:caps w:val="false"/>
          <w:smallCaps w:val="false"/>
          <w:sz w:val="20"/>
          <w:bdr w:val="single" w:sz="8" w:space="10" w:color="000000"/>
        </w:rPr>
        <w:t>Openwindow’s seaborne pulping business is at an early stage. To further grow its business, Openwindow expects to expand its customer base for higher bargaining power and flexibility.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Recent Developments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January 26, 2026, the Company held its extraordinary shareholder general meeting (the “Meeting”). At the Meeting, the shareholders of the Company adopted the following resolutions: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     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(ii)    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 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 on any resolution of shareholders whereas each Class A Ordinary Share shall only have one (1) vote. Each outstanding Class B Ordinary Share is convertible at any time after issuance at the option of the holder into one (1) Class A Ordinary Share. The Class A Shares will not be convertible into shares of any other class.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(iii)   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 (equivalent to 38,780,628 shares on a post-consolidation basis) as Class A Shares.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 US$0.0025 (with any fractional entitlements to be round up to the next whole share). The share consolidation was accounted for on a retroactive basis pursuant to Accounting Standards Codification Topic 260.</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All ordinary shares and per share data for all periods in this filing have been retroactively restated accordingly, unless otherwise indicated.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Entry into Securities Purchase Agreements with certain Investors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White Lion Purchase Agreement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August 20, 2025, Intercont entered into the White Lion Purchase Agreement with White Lion Capital. Pursuant to the White Lion Purchase Agreement, White Lion Capital is committed to purchase Intercont’s Class A Ordinary Shares with an aggregate gross purchase price of up to $10,000,000 (as may be adjusted as described below, the “White Lion Commitment Amount”), from time to time during the period commencing on the August 20, 2025 and ending on the earlier of (i) the date on which White Lion Capital shall have purchased an aggregate number of Ordinary Shares equal to the White Lion Commitment Amount or (ii) the later of the 18 month anniversary of August 20, 2025 or the first closing (the “White Lion Commitment Period”). The White Lion Commitment Amount may be increased up to $30,000,000 upon the mutual written consent of White Lion Capital and Intercont. On December 1, 2025, the Company issued 15,990 Class A Ordinary Shares (with 1,990 commitment shares) of the Company at a price of $11.75 per share for consideration of $144,427. On December 15, 2025, the Company issued 14,000 Class A Ordinary Shares of the Company at a price of $5.35 per share for consideration of $74,827. On February 3, 2026, the Company issued 4,000 Class A Ordinary Shares of the Company at a price of $4.41 per share for consideration of $17,052. On April 13, 2026, the Company issued 20,000 Class A Ordinary Shares of the Company at a price of $2.01 per share for consideration of $40,127. On April 14, 2026, the Company issued 20,000 Class A Ordinary Shares of the Company at a price of $1.86 per share for consideration of $37,127. On April 15, 2026, the Company issued 35,000 Class A Ordinary Shares of the Company at a price of $1.62 per share for consideration of $56,627. On April 16, 2026, the Company issued 20,000 Class A Ordinary Shares of the Company at a price of $1.45 per share for consideration of $28,927. On April 17, 2026, the Company issued 20,000 Class A Ordinary Shares of the Company at a price of $1.67 per share for consideration of $33,327.</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Entry and Termination of Streeterville Purchase Agreement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September 4, 2025, Intercont entered into a Securities Purchase Agreement (the “Streeterville Purchase Agreement”) with Streeterville Capital, LLC, a Utah limited liability company (“Streeterville Capital”), pursuant to which Streeterville Capital agreed to purchase from Intercont one or more pre-paid purchases (each a “Pre-Paid Purchase” and together the “Pre-Paid Purchases”) in the aggregate purchase amount of up to $10,000,000.00 (the “Streeterville Commitment Amount”) for the purchase of Intercont’s Class A Ordinary Shares (the “Purchase Shares”). At the closing of the Streeterville Purchase Agreement (the “Closing”) on September 9, 2025, Intercont issued 3,419 Ordinary Shares to Streeterville Capital as a commitment fee (the “Streeterville Commitment Shares” and together with the White Lion Commitment Shares, the “Commitment Shares”) and 102,200 Ordinary Shares to be used as pre-delivery shares (the “Streeterville Pre-Delivery Shares”). The Purchase Agreement provides for an initial Pre-Paid Purchase in the principal amount of $2,175,000, before deducting an original issue discount (the “OID”) of $160,000 and a transaction expense amount of $15,000 (the “Initial Pre-Paid Purchase”). The Company received net proceeds of $2,000,000 on September 10, 2025. The Purchase Agreement provides for a second Pre-Paid Purchase in the principal amount of $540,000, before deducting an original issue discount (the “OID”) of $40,000. The Company received net proceeds of $500,000, on January 13,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On April 30, 2026, Intercont entered into a Payoff Acknowledgment and Termination Agreement with Streeterville Capital to terminate the Streeterville Purchase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Risks Factors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Intercont’s Class A Ordinary Shares involves significant risks. You should carefully consider all of the information in this prospectus before making an investment in Intercont’s Class A Ordinary Shares. We set forth below a summary of the principal risks and challenges we face, organized under relevant headings. These risks are discussed more fully in the section titled “</w:t>
      </w:r>
      <w:r>
        <w:rPr>
          <w:rFonts w:ascii="Times New Roman PS Std;serif" w:hAnsi="Times New Roman PS Std;serif"/>
          <w:b w:val="false"/>
          <w:i/>
          <w:caps w:val="false"/>
          <w:smallCaps w:val="false"/>
          <w:sz w:val="20"/>
          <w:bdr w:val="single" w:sz="8" w:space="10" w:color="000000"/>
        </w:rPr>
        <w:t>Risk Factors</w:t>
      </w:r>
      <w:r>
        <w:rPr>
          <w:rFonts w:ascii="Times New Roman PS Std;serif" w:hAnsi="Times New Roman PS Std;serif"/>
          <w:b w:val="false"/>
          <w:i w:val="false"/>
          <w:caps w:val="false"/>
          <w:smallCaps w:val="false"/>
          <w:sz w:val="20"/>
          <w:bdr w:val="single" w:sz="8" w:space="10" w:color="00000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business and industry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Risks and uncertainties relating to our business and industry include, but are not limited to, the following: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report of our independent registered public accounting firm on our financial statements includes an explanatory paragraph emphasizing that the Company’s ability to continue as a going concern is dependent, in part, on receiving financial support from the Company’s primary shareholders. See “Risk Factors — </w:t>
      </w:r>
      <w:r>
        <w:rPr>
          <w:rFonts w:ascii="Times New Roman PS Std;serif" w:hAnsi="Times New Roman PS Std;serif"/>
          <w:b w:val="false"/>
          <w:i/>
          <w:caps w:val="false"/>
          <w:smallCaps w:val="false"/>
          <w:sz w:val="20"/>
          <w:bdr w:val="single" w:sz="8" w:space="10" w:color="000000"/>
        </w:rPr>
        <w:t xml:space="preserve">Risks Related to Our Business and Industry — The report of our independent registered public accounting firm on our financial statements includes an explanatory paragraph emphasizing that the Company’s ability to continue as a going concern is </w:t>
      </w:r>
      <w:r>
        <w:rPr>
          <w:rFonts w:ascii="Times New Roman PS Std;serif" w:hAnsi="Times New Roman PS Std;serif"/>
          <w:b w:val="false"/>
          <w:i w:val="false"/>
          <w:caps w:val="false"/>
          <w:smallCaps w:val="false"/>
          <w:sz w:val="20"/>
          <w:bdr w:val="single" w:sz="8" w:space="10" w:color="000000"/>
        </w:rPr>
        <w:t>dependent</w:t>
      </w:r>
      <w:r>
        <w:rPr>
          <w:rFonts w:ascii="Times New Roman PS Std;serif" w:hAnsi="Times New Roman PS Std;serif"/>
          <w:b w:val="false"/>
          <w:i/>
          <w:caps w:val="false"/>
          <w:smallCaps w:val="false"/>
          <w:sz w:val="20"/>
          <w:bdr w:val="single" w:sz="8" w:space="10" w:color="000000"/>
        </w:rPr>
        <w:t xml:space="preserve">, in part, on receiving financial support from the Company’s primary shareholders” </w:t>
      </w:r>
      <w:r>
        <w:rPr>
          <w:rFonts w:ascii="Times New Roman PS Std;serif" w:hAnsi="Times New Roman PS Std;serif"/>
          <w:b w:val="false"/>
          <w:i w:val="false"/>
          <w:caps w:val="false"/>
          <w:smallCaps w:val="false"/>
          <w:sz w:val="20"/>
          <w:bdr w:val="single" w:sz="8" w:space="10" w:color="000000"/>
        </w:rPr>
        <w:t>commencing on page 19.</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Ongoing geopolitical tensions around the world may have a material adverse effect on our business, financial condition, and results of operations. See “</w:t>
      </w:r>
      <w:r>
        <w:rPr>
          <w:rFonts w:ascii="Times New Roman PS Std;serif" w:hAnsi="Times New Roman PS Std;serif"/>
          <w:b w:val="false"/>
          <w:i/>
          <w:caps w:val="false"/>
          <w:smallCaps w:val="false"/>
          <w:sz w:val="20"/>
          <w:bdr w:val="single" w:sz="8" w:space="10" w:color="000000"/>
        </w:rPr>
        <w:t>Risk Factors — Risks Related to Our Business and Industry — Ongoing geopolitical tensions around the world may have a material adverse effect on our business, financial condition, and results of operations</w:t>
      </w:r>
      <w:r>
        <w:rPr>
          <w:rFonts w:ascii="Times New Roman PS Std;serif" w:hAnsi="Times New Roman PS Std;serif"/>
          <w:b w:val="false"/>
          <w:i w:val="false"/>
          <w:caps w:val="false"/>
          <w:smallCaps w:val="false"/>
          <w:sz w:val="20"/>
          <w:bdr w:val="single" w:sz="8" w:space="10" w:color="000000"/>
        </w:rPr>
        <w:t>” commencing on page 19.</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business of our Shipping Subsidiaries could be negatively impacted by the cyclical nature of the shipping industry. See “</w:t>
      </w:r>
      <w:r>
        <w:rPr>
          <w:rFonts w:ascii="Times New Roman PS Std;serif" w:hAnsi="Times New Roman PS Std;serif"/>
          <w:b w:val="false"/>
          <w:i/>
          <w:caps w:val="false"/>
          <w:smallCaps w:val="false"/>
          <w:sz w:val="20"/>
          <w:bdr w:val="single" w:sz="8" w:space="10" w:color="000000"/>
        </w:rPr>
        <w:t xml:space="preserve">Risk Factors — Risks Related to Our Business and Industry — The business of our Shipping Subsidiaries could be negatively impacted by the cyclical nature of the shipping industry” </w:t>
      </w:r>
      <w:r>
        <w:rPr>
          <w:rFonts w:ascii="Times New Roman PS Std;serif" w:hAnsi="Times New Roman PS Std;serif"/>
          <w:b w:val="false"/>
          <w:i w:val="false"/>
          <w:caps w:val="false"/>
          <w:smallCaps w:val="false"/>
          <w:sz w:val="20"/>
          <w:bdr w:val="single" w:sz="8" w:space="10" w:color="000000"/>
        </w:rPr>
        <w:t>commencing on page 21</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face certain risks related to our transaction arrangements with our affiliates. See “</w:t>
      </w:r>
      <w:r>
        <w:rPr>
          <w:rFonts w:ascii="Times New Roman PS Std;serif" w:hAnsi="Times New Roman PS Std;serif"/>
          <w:b w:val="false"/>
          <w:i/>
          <w:caps w:val="false"/>
          <w:smallCaps w:val="false"/>
          <w:sz w:val="20"/>
          <w:bdr w:val="single" w:sz="8" w:space="10" w:color="000000"/>
        </w:rPr>
        <w:t>Risk Factors — Risks Related to Our Business and Industry — We face certain risks related to our transaction arrangements with our affiliates</w:t>
      </w:r>
      <w:r>
        <w:rPr>
          <w:rFonts w:ascii="Times New Roman PS Std;serif" w:hAnsi="Times New Roman PS Std;serif"/>
          <w:b w:val="false"/>
          <w:i w:val="false"/>
          <w:caps w:val="false"/>
          <w:smallCaps w:val="false"/>
          <w:sz w:val="20"/>
          <w:bdr w:val="single" w:sz="8" w:space="10" w:color="000000"/>
        </w:rPr>
        <w:t>” commencing on page 22</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profitability and growth of our Shipping Subsidiaries are contingent on the demand for shipping vessels and global economic conditions, with consumer confidence and spending playing a crucial role in influencing shipping volume and charter rates. The volatility or potential increase in charter hire rates for shipping vessels could negatively impact our Shipping Subsidiaries’ profitability. See “</w:t>
      </w:r>
      <w:r>
        <w:rPr>
          <w:rFonts w:ascii="Times New Roman PS Std;serif" w:hAnsi="Times New Roman PS Std;serif"/>
          <w:b w:val="false"/>
          <w:i/>
          <w:caps w:val="false"/>
          <w:smallCaps w:val="false"/>
          <w:sz w:val="20"/>
          <w:bdr w:val="single" w:sz="8" w:space="10" w:color="000000"/>
        </w:rPr>
        <w:t>Risk Factors — Risks Related to Our Business and Industry — The profitability and growth of our Shipping Subsidiaries are contingent on the demand for shipping vessels and global economic conditions, with consumer confidence and spending playing a crucial role in influencing shipping volume and charter rates. The volatility or potential increase in charter hire rates for shipping vessels could negatively impact our Shipping Subsidiaries’ profitability</w:t>
      </w:r>
      <w:r>
        <w:rPr>
          <w:rFonts w:ascii="Times New Roman PS Std;serif" w:hAnsi="Times New Roman PS Std;serif"/>
          <w:b w:val="false"/>
          <w:i w:val="false"/>
          <w:caps w:val="false"/>
          <w:smallCaps w:val="false"/>
          <w:sz w:val="20"/>
          <w:bdr w:val="single" w:sz="8" w:space="10" w:color="000000"/>
        </w:rPr>
        <w:t>” commencing on page 22</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Intercont’s Shipping Subsidiaries operate in a highly competitive global maritime shipping industry and if they do not compete successfully with new entrants or established companies with greater resources, its shipping business growth and results of operations may be adversely affected. See “</w:t>
      </w:r>
      <w:r>
        <w:rPr>
          <w:rFonts w:ascii="Times New Roman PS Std;serif" w:hAnsi="Times New Roman PS Std;serif"/>
          <w:b w:val="false"/>
          <w:i/>
          <w:caps w:val="false"/>
          <w:smallCaps w:val="false"/>
          <w:sz w:val="20"/>
          <w:bdr w:val="single" w:sz="8" w:space="10" w:color="000000"/>
        </w:rPr>
        <w:t>Risk Factors — Risks Related to Our Business and Industry — Intercont’s Shipping Subsidiaries operate in a highly competitive global maritime shipping industry and if they do not compete successfully with new entrants or established companies with greater resources, its shipping business growth and results of operations may be adversely affected</w:t>
      </w:r>
      <w:r>
        <w:rPr>
          <w:rFonts w:ascii="Times New Roman PS Std;serif" w:hAnsi="Times New Roman PS Std;serif"/>
          <w:b w:val="false"/>
          <w:i w:val="false"/>
          <w:caps w:val="false"/>
          <w:smallCaps w:val="false"/>
          <w:sz w:val="20"/>
          <w:bdr w:val="single" w:sz="8" w:space="10" w:color="000000"/>
        </w:rPr>
        <w:t>” commencing on page 24</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Global events, such as terrorist attacks and regional conflicts, have the potential to significantly impact Intercont’s business, financial status, operational results, and cash flows. See “</w:t>
      </w:r>
      <w:r>
        <w:rPr>
          <w:rFonts w:ascii="Times New Roman PS Std;serif" w:hAnsi="Times New Roman PS Std;serif"/>
          <w:b w:val="false"/>
          <w:i/>
          <w:caps w:val="false"/>
          <w:smallCaps w:val="false"/>
          <w:sz w:val="20"/>
          <w:bdr w:val="single" w:sz="8" w:space="10" w:color="000000"/>
        </w:rPr>
        <w:t xml:space="preserve">Risk Factors — Risks Related to Our Business and Industry — Global events, such as terrorist attacks and regional conflicts, have the potential to significantly impact Intercont’s business, financial status, operational results, and cash flows” </w:t>
      </w:r>
      <w:r>
        <w:rPr>
          <w:rFonts w:ascii="Times New Roman PS Std;serif" w:hAnsi="Times New Roman PS Std;serif"/>
          <w:b w:val="false"/>
          <w:i w:val="false"/>
          <w:caps w:val="false"/>
          <w:smallCaps w:val="false"/>
          <w:sz w:val="20"/>
          <w:bdr w:val="single" w:sz="8" w:space="10" w:color="000000"/>
        </w:rPr>
        <w:t>commencing on page 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paper product industry is cyclical in nature. Fluctuations in the prices of, and the demand for, our seaborne pulping products could result in lower sales volumes and smaller profit margins. See “</w:t>
      </w:r>
      <w:r>
        <w:rPr>
          <w:rFonts w:ascii="Times New Roman PS Std;serif" w:hAnsi="Times New Roman PS Std;serif"/>
          <w:b w:val="false"/>
          <w:i/>
          <w:caps w:val="false"/>
          <w:smallCaps w:val="false"/>
          <w:sz w:val="20"/>
          <w:bdr w:val="single" w:sz="8" w:space="10" w:color="000000"/>
        </w:rPr>
        <w:t xml:space="preserve">Risk Factors — Risks Related to Our Business and Industry — The paper product industry is cyclical in nature. Fluctuations in the prices of, and the demand for, our seaborne pulping products could result in lower sales volumes and smaller profit margins” </w:t>
      </w:r>
      <w:r>
        <w:rPr>
          <w:rFonts w:ascii="Times New Roman PS Std;serif" w:hAnsi="Times New Roman PS Std;serif"/>
          <w:b w:val="false"/>
          <w:i w:val="false"/>
          <w:caps w:val="false"/>
          <w:smallCaps w:val="false"/>
          <w:sz w:val="20"/>
          <w:bdr w:val="single" w:sz="8" w:space="10" w:color="000000"/>
        </w:rPr>
        <w:t>commencing on page 29.</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seaborne pulping business is still in early stages, and may not operate profitably, if at all. See “</w:t>
      </w:r>
      <w:r>
        <w:rPr>
          <w:rFonts w:ascii="Times New Roman PS Std;serif" w:hAnsi="Times New Roman PS Std;serif"/>
          <w:b w:val="false"/>
          <w:i/>
          <w:caps w:val="false"/>
          <w:smallCaps w:val="false"/>
          <w:sz w:val="20"/>
          <w:bdr w:val="single" w:sz="8" w:space="10" w:color="000000"/>
        </w:rPr>
        <w:t xml:space="preserve">Risk Factors — Risks Related to Our Business and Industry — Our seaborne pulping business is still in early stages, and may not operate profitably, if at all” </w:t>
      </w:r>
      <w:r>
        <w:rPr>
          <w:rFonts w:ascii="Times New Roman PS Std;serif" w:hAnsi="Times New Roman PS Std;serif"/>
          <w:b w:val="false"/>
          <w:i w:val="false"/>
          <w:caps w:val="false"/>
          <w:smallCaps w:val="false"/>
          <w:sz w:val="20"/>
          <w:bdr w:val="single" w:sz="8" w:space="10" w:color="000000"/>
        </w:rPr>
        <w:t>commencing on page 29.</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seaborne pulping business may not comply with all the import/export laws and regulations. See “</w:t>
      </w:r>
      <w:r>
        <w:rPr>
          <w:rFonts w:ascii="Times New Roman PS Std;serif" w:hAnsi="Times New Roman PS Std;serif"/>
          <w:b w:val="false"/>
          <w:i/>
          <w:caps w:val="false"/>
          <w:smallCaps w:val="false"/>
          <w:sz w:val="20"/>
          <w:bdr w:val="single" w:sz="8" w:space="10" w:color="000000"/>
        </w:rPr>
        <w:t xml:space="preserve">Risk Factors — Risks Related to Our Business and Industry — Our seaborne pulping business may not comply with all the import/export laws and regulations” </w:t>
      </w:r>
      <w:r>
        <w:rPr>
          <w:rFonts w:ascii="Times New Roman PS Std;serif" w:hAnsi="Times New Roman PS Std;serif"/>
          <w:b w:val="false"/>
          <w:i w:val="false"/>
          <w:caps w:val="false"/>
          <w:smallCaps w:val="false"/>
          <w:sz w:val="20"/>
          <w:bdr w:val="single" w:sz="8" w:space="10" w:color="000000"/>
        </w:rPr>
        <w:t>commencing on page 30.</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seaborne pulping business model is still in experimental stages and the current plan may not fully materialize when applied into operations. See “</w:t>
      </w:r>
      <w:r>
        <w:rPr>
          <w:rFonts w:ascii="Times New Roman PS Std;serif" w:hAnsi="Times New Roman PS Std;serif"/>
          <w:b w:val="false"/>
          <w:i/>
          <w:caps w:val="false"/>
          <w:smallCaps w:val="false"/>
          <w:sz w:val="20"/>
          <w:bdr w:val="single" w:sz="8" w:space="10" w:color="000000"/>
        </w:rPr>
        <w:t>Risk Factors — Risks Related to Our Business and Industry — Our seaborne pulping business model is still in experimental stages and the current plan may not fully materialize when applied into operations</w:t>
      </w:r>
      <w:r>
        <w:rPr>
          <w:rFonts w:ascii="Times New Roman PS Std;serif" w:hAnsi="Times New Roman PS Std;serif"/>
          <w:b w:val="false"/>
          <w:i w:val="false"/>
          <w:caps w:val="false"/>
          <w:smallCaps w:val="false"/>
          <w:sz w:val="20"/>
          <w:bdr w:val="single" w:sz="8" w:space="10" w:color="000000"/>
        </w:rPr>
        <w:t>” commencing on page 30.</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significantly rely on third-party intellectual property to carry out our seaborne pulping business, if we fail to continue the license, our seaborne pulping business will suffer material loss or fail to proceed. See “</w:t>
      </w:r>
      <w:r>
        <w:rPr>
          <w:rFonts w:ascii="Times New Roman PS Std;serif" w:hAnsi="Times New Roman PS Std;serif"/>
          <w:b w:val="false"/>
          <w:i/>
          <w:caps w:val="false"/>
          <w:smallCaps w:val="false"/>
          <w:sz w:val="20"/>
          <w:bdr w:val="single" w:sz="8" w:space="10" w:color="000000"/>
        </w:rPr>
        <w:t>Risk Factors — Risks Related to Our Business and Industry — We significantly rely on third-party</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 xml:space="preserve">intellectual property to carry out our seaborne pulping business, if we fail to continue the license, our seaborne pulping business will suffer material loss or fail to proceed” </w:t>
      </w:r>
      <w:r>
        <w:rPr>
          <w:rFonts w:ascii="Times New Roman PS Std;serif" w:hAnsi="Times New Roman PS Std;serif"/>
          <w:b w:val="false"/>
          <w:i w:val="false"/>
          <w:caps w:val="false"/>
          <w:smallCaps w:val="false"/>
          <w:sz w:val="20"/>
          <w:bdr w:val="single" w:sz="8" w:space="10" w:color="000000"/>
        </w:rPr>
        <w:t>commencing on page 30.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our corporate structure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 (Cayman) Limited is a Cayman Islands holding company with no substantive operations. Intercont currently carries out its business primarily through its Shipping Subsidiaries. Intercont and holders of Intercont’s securities (including the Class A Ordinary Shares) are therefore subject to various legal and operational risks and uncertainties related to Intercont’s corporate structure, which would result in a material adverse change in our operations, cause the value of any securities Intercont offers to significantly decline or become worthless. Such risks and uncertainties include, but are not limited to, the following: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Cayman Islands economic substance requirements may have an effect on our business and operations. See “</w:t>
      </w:r>
      <w:r>
        <w:rPr>
          <w:rFonts w:ascii="Times New Roman PS Std;serif" w:hAnsi="Times New Roman PS Std;serif"/>
          <w:b w:val="false"/>
          <w:i/>
          <w:caps w:val="false"/>
          <w:smallCaps w:val="false"/>
          <w:sz w:val="20"/>
          <w:bdr w:val="single" w:sz="8" w:space="10" w:color="000000"/>
        </w:rPr>
        <w:t xml:space="preserve">Risk Factors — Risks Related to Our Corporate Structure — Cayman Islands economic substance requirements may have an effect on our business and operations” </w:t>
      </w:r>
      <w:r>
        <w:rPr>
          <w:rFonts w:ascii="Times New Roman PS Std;serif" w:hAnsi="Times New Roman PS Std;serif"/>
          <w:b w:val="false"/>
          <w:i w:val="false"/>
          <w:caps w:val="false"/>
          <w:smallCaps w:val="false"/>
          <w:sz w:val="20"/>
          <w:bdr w:val="single" w:sz="8" w:space="10" w:color="000000"/>
        </w:rPr>
        <w:t>commencing on page 33</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As Intercont is incorporated under Cayman Islands law, you may face difficulties in protecting your interests, and your ability to protect your rights through U.S. courts may be limited. See “</w:t>
      </w:r>
      <w:r>
        <w:rPr>
          <w:rFonts w:ascii="Times New Roman PS Std;serif" w:hAnsi="Times New Roman PS Std;serif"/>
          <w:b w:val="false"/>
          <w:i/>
          <w:caps w:val="false"/>
          <w:smallCaps w:val="false"/>
          <w:sz w:val="20"/>
          <w:bdr w:val="single" w:sz="8" w:space="10" w:color="000000"/>
        </w:rPr>
        <w:t xml:space="preserve">Risk Factors — Risks Related to Our Corporate Structure — As Intercont is incorporated under the Cayman Islands law, you may face difficulties in protecting your interests, and your ability to protect your rights through U.S. courts may be limited.” </w:t>
      </w:r>
      <w:r>
        <w:rPr>
          <w:rFonts w:ascii="Times New Roman PS Std;serif" w:hAnsi="Times New Roman PS Std;serif"/>
          <w:b w:val="false"/>
          <w:i w:val="false"/>
          <w:caps w:val="false"/>
          <w:smallCaps w:val="false"/>
          <w:sz w:val="20"/>
          <w:bdr w:val="single" w:sz="8" w:space="10" w:color="000000"/>
        </w:rPr>
        <w:t>commencing on page 34</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 will rely on dividends and other distributions on equity paid by its subsidiaries to fund its cash and financing requirements, and any limitation on the ability of its subsidiaries to make payments to it could have a material adverse effect on its ability to conduct its business. Moreover, to the extent that cash is in Intercont’s subsidiaries in Hong Kong, there is a possibility that the funds may not be available to fund our operations or for other uses outside of Hong Kong due to interventions or the imposition of restrictions and limitations by the Hong Kong laws or the PRC government on the ability to transfer cash out of Hong Kong or a Hong Kong entity. See “</w:t>
      </w:r>
      <w:r>
        <w:rPr>
          <w:rFonts w:ascii="Times New Roman PS Std;serif" w:hAnsi="Times New Roman PS Std;serif"/>
          <w:b w:val="false"/>
          <w:i/>
          <w:caps w:val="false"/>
          <w:smallCaps w:val="false"/>
          <w:sz w:val="20"/>
          <w:bdr w:val="single" w:sz="8" w:space="10" w:color="000000"/>
        </w:rPr>
        <w:t xml:space="preserve">Risk Factors — Risks Related to Our Corporate Structure — Intercont will rely on dividends and other distributions on equity paid by its subsidiaries to fund its cash and financing requirements, and any limitation on the ability of its subsidiaries to make payments to it could have a material adverse effect on its ability to conduct its business. Moreover, to the extent that cash is in Intercont’s subsidiaries in Hong Kong, there is a possibility that the funds may not be available to fund our operations or for other uses outside of Hong Kong due to interventions or the imposition of restrictions and limitations by the Hong Kong laws or the PRC government on the ability to transfer cash out of Hong Kong or a Hong Kong entity.” </w:t>
      </w:r>
      <w:r>
        <w:rPr>
          <w:rFonts w:ascii="Times New Roman PS Std;serif" w:hAnsi="Times New Roman PS Std;serif"/>
          <w:b w:val="false"/>
          <w:i w:val="false"/>
          <w:caps w:val="false"/>
          <w:smallCaps w:val="false"/>
          <w:sz w:val="20"/>
          <w:bdr w:val="single" w:sz="8" w:space="10" w:color="000000"/>
        </w:rPr>
        <w:t>commencing on page 34.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doing business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face various legal and operational risks and uncertainties related to being based in and having significant operations in Hong Kong and are therefore subject to risks associated with doing business in Hong Kong generally. Risks and uncertainties related to doing business in China could result in a material adverse change in our operations, significantly limit or completely hinder our ability to complete this offering or continue to offer securities to investors and cause the value of such securities to significantly decline or become worthless. Such risks and uncertainties include, but not limited to, the following: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currently operate principally in Hong Kong, and adverse economic or other events affecting the region or any significant worsening to the present global economic condition could significantly impact our business. See “</w:t>
      </w:r>
      <w:r>
        <w:rPr>
          <w:rFonts w:ascii="Times New Roman PS Std;serif" w:hAnsi="Times New Roman PS Std;serif"/>
          <w:b w:val="false"/>
          <w:i/>
          <w:caps w:val="false"/>
          <w:smallCaps w:val="false"/>
          <w:sz w:val="20"/>
          <w:bdr w:val="single" w:sz="8" w:space="10" w:color="000000"/>
        </w:rPr>
        <w:t xml:space="preserve">Risk Factors — Risks Related to Doing Business in Hong Kong — We currently operate principally in Hong Kong, and adverse economic or other events affecting the region or any significant worsening to the present global financial condition could significantly impact our business” </w:t>
      </w:r>
      <w:r>
        <w:rPr>
          <w:rFonts w:ascii="Times New Roman PS Std;serif" w:hAnsi="Times New Roman PS Std;serif"/>
          <w:b w:val="false"/>
          <w:i w:val="false"/>
          <w:caps w:val="false"/>
          <w:smallCaps w:val="false"/>
          <w:sz w:val="20"/>
          <w:bdr w:val="single" w:sz="8" w:space="10" w:color="000000"/>
        </w:rPr>
        <w:t>commencing on page 36</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Potential political and economic instability in Hong Kong may adversely impact our results of operations. We may also face the risk that changes in the policies of the PRC government could have a significant impact upon the business we conduct in Hong Kong and the profitability of such business. See “</w:t>
      </w:r>
      <w:r>
        <w:rPr>
          <w:rFonts w:ascii="Times New Roman PS Std;serif" w:hAnsi="Times New Roman PS Std;serif"/>
          <w:b w:val="false"/>
          <w:i/>
          <w:caps w:val="false"/>
          <w:smallCaps w:val="false"/>
          <w:sz w:val="20"/>
          <w:bdr w:val="single" w:sz="8" w:space="10" w:color="000000"/>
        </w:rPr>
        <w:t xml:space="preserve">Risk Factors — Risks Related to Doing Business in Hong Kong — Potential political and economic instability in Hong Kong may adversely impact our results of operations. We may also face the risk that changes in the policies of the PRC government could have a significant impact upon the business we conduct in Hong Kong and the profitability of such business” </w:t>
      </w:r>
      <w:r>
        <w:rPr>
          <w:rFonts w:ascii="Times New Roman PS Std;serif" w:hAnsi="Times New Roman PS Std;serif"/>
          <w:b w:val="false"/>
          <w:i w:val="false"/>
          <w:caps w:val="false"/>
          <w:smallCaps w:val="false"/>
          <w:sz w:val="20"/>
          <w:bdr w:val="single" w:sz="8" w:space="10" w:color="000000"/>
        </w:rPr>
        <w:t>commencing on page 37</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enactment of the law of the PRC on Safeguarding National Security in the Hong Kong Special Administrative Region (the “Hong Kong National Security Law”) could impact our Hong Kong Subsidiaries, which may affect a substantial part of our business. See “</w:t>
      </w:r>
      <w:r>
        <w:rPr>
          <w:rFonts w:ascii="Times New Roman PS Std;serif" w:hAnsi="Times New Roman PS Std;serif"/>
          <w:b w:val="false"/>
          <w:i/>
          <w:caps w:val="false"/>
          <w:smallCaps w:val="false"/>
          <w:sz w:val="20"/>
          <w:bdr w:val="single" w:sz="8" w:space="10" w:color="000000"/>
        </w:rPr>
        <w:t xml:space="preserve">Risk Factors — Risks Related to Doing Business in Hong Kong — The enactment of the law of the PRC on Safeguarding National Security in the Hong Kong Special Administrative Region (the “Hong Kong National Security Law”) could impact our subsidiaries in Hong Kong, which may affect a substantial part of our business” </w:t>
      </w:r>
      <w:r>
        <w:rPr>
          <w:rFonts w:ascii="Times New Roman PS Std;serif" w:hAnsi="Times New Roman PS Std;serif"/>
          <w:b w:val="false"/>
          <w:i w:val="false"/>
          <w:caps w:val="false"/>
          <w:smallCaps w:val="false"/>
          <w:sz w:val="20"/>
          <w:bdr w:val="single" w:sz="8" w:space="10" w:color="000000"/>
        </w:rPr>
        <w:t>commencing on page 37</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Chinese government may exercise significant oversight and discretion over the conduct of our Hong Kong Subsidiaries’ business and may intervene in or influence their operations at any time, which could result in a material change in their operations and/or the value of Intercont’s Class A Ordinary Shares. See “</w:t>
      </w:r>
      <w:r>
        <w:rPr>
          <w:rFonts w:ascii="Times New Roman PS Std;serif" w:hAnsi="Times New Roman PS Std;serif"/>
          <w:b w:val="false"/>
          <w:i/>
          <w:caps w:val="false"/>
          <w:smallCaps w:val="false"/>
          <w:sz w:val="20"/>
          <w:bdr w:val="single" w:sz="8" w:space="10" w:color="000000"/>
        </w:rPr>
        <w:t xml:space="preserve">Risk Factors — Risks Related to Doing Business in Hong Kong — The Chinese government may exercise significant oversight and discretion over the conduct of our subsidiaries’ business and may intervene in or influence their operations at any time, which could result in a material change in their operations and/or the value of Intercont’s Class A Ordinary Shares” </w:t>
      </w:r>
      <w:r>
        <w:rPr>
          <w:rFonts w:ascii="Times New Roman PS Std;serif" w:hAnsi="Times New Roman PS Std;serif"/>
          <w:b w:val="false"/>
          <w:i w:val="false"/>
          <w:caps w:val="false"/>
          <w:smallCaps w:val="false"/>
          <w:sz w:val="20"/>
          <w:bdr w:val="single" w:sz="8" w:space="10" w:color="000000"/>
        </w:rPr>
        <w:t>commencing on page 38</w:t>
      </w:r>
      <w:r>
        <w:rPr>
          <w:rFonts w:ascii="Times New Roman PS Std;serif" w:hAnsi="Times New Roman PS Std;serif"/>
          <w:b w:val="false"/>
          <w:i/>
          <w:caps w:val="false"/>
          <w:smallCaps w:val="false"/>
          <w:sz w:val="20"/>
          <w:bdr w:val="single" w:sz="8" w:space="10" w:color="00000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Risks related to Intercont’s Class A Ordinary Shares and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to the risks described above, we are subject to the following risks relating to Intercont’s Class A Ordinary Shares and this offering, including, but not limited to, the following: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Intercont’s Class A Ordinary Shares may encounter substantial volatility in its price, unrelated to our actual or anticipated operational performance, financial health, or prospects, posing challenges for potential investors in evaluating the rapidly changing value of Intercont’s Class A Ordinary Shares.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Intercont’s Class A Ordinary Shares may encounter substantial volatility in its price, unrelated to our actual or anticipated operational performance, financial health, or prospects, posing challenges for potential investors in evaluating the rapidly changing value of Intercont’s Class A Ordinary Shares” </w:t>
      </w:r>
      <w:r>
        <w:rPr>
          <w:rFonts w:ascii="Times New Roman PS Std;serif" w:hAnsi="Times New Roman PS Std;serif"/>
          <w:b w:val="false"/>
          <w:i w:val="false"/>
          <w:caps w:val="false"/>
          <w:smallCaps w:val="false"/>
          <w:sz w:val="20"/>
          <w:bdr w:val="single" w:sz="8" w:space="10" w:color="000000"/>
        </w:rPr>
        <w:t>commencing on page 41</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Furthermore, on June 22, 2021, the U.S. Senate passed the Accelerating Holding Foreign Companies Accountable Act, which was signed into law on December 29, 2022, amending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HFCAA to require the SEC to prohibit an issuer’s securities from trading on any U.S. stock exchanges if its auditor is not subject to PCAOB inspections for two consecutive years instead of three. See “</w:t>
      </w:r>
      <w:r>
        <w:rPr>
          <w:rFonts w:ascii="Times New Roman PS Std;serif" w:hAnsi="Times New Roman PS Std;serif"/>
          <w:b w:val="false"/>
          <w:i/>
          <w:caps w:val="false"/>
          <w:smallCaps w:val="false"/>
          <w:sz w:val="20"/>
          <w:bdr w:val="single" w:sz="8" w:space="10" w:color="000000"/>
        </w:rPr>
        <w:t>Risk Factors — Risks Related to Intercont’s Class A Ordinary Shares and this Offering — 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Furthermore, on June</w:t>
      </w:r>
      <w:r>
        <w:rPr>
          <w:rFonts w:ascii="Times New Roman PS Std;serif" w:hAnsi="Times New Roman PS Std;serif"/>
          <w:b w:val="false"/>
          <w:i w:val="false"/>
          <w:caps w:val="false"/>
          <w:smallCaps w:val="false"/>
          <w:sz w:val="20"/>
          <w:bdr w:val="single" w:sz="8" w:space="10" w:color="000000"/>
        </w:rPr>
        <w:t> </w:t>
      </w:r>
      <w:r>
        <w:rPr>
          <w:rFonts w:ascii="Times New Roman PS Std;serif" w:hAnsi="Times New Roman PS Std;serif"/>
          <w:b w:val="false"/>
          <w:i/>
          <w:caps w:val="false"/>
          <w:smallCaps w:val="false"/>
          <w:sz w:val="20"/>
          <w:bdr w:val="single" w:sz="8" w:space="10" w:color="000000"/>
        </w:rPr>
        <w:t>22, 2021, the U.S. Senate passed the Accelerating Holding Foreign Companies Accountable Act, which was signed into law on December</w:t>
      </w:r>
      <w:r>
        <w:rPr>
          <w:rFonts w:ascii="Times New Roman PS Std;serif" w:hAnsi="Times New Roman PS Std;serif"/>
          <w:b w:val="false"/>
          <w:i w:val="false"/>
          <w:caps w:val="false"/>
          <w:smallCaps w:val="false"/>
          <w:sz w:val="20"/>
          <w:bdr w:val="single" w:sz="8" w:space="10" w:color="000000"/>
        </w:rPr>
        <w:t> </w:t>
      </w:r>
      <w:r>
        <w:rPr>
          <w:rFonts w:ascii="Times New Roman PS Std;serif" w:hAnsi="Times New Roman PS Std;serif"/>
          <w:b w:val="false"/>
          <w:i/>
          <w:caps w:val="false"/>
          <w:smallCaps w:val="false"/>
          <w:sz w:val="20"/>
          <w:bdr w:val="single" w:sz="8" w:space="10" w:color="000000"/>
        </w:rPr>
        <w:t xml:space="preserve">29, 2022, amending the HFCAA to require the SEC to prohibit an issuer’s securities from trading on any U.S. stock exchanges if its auditor is not subject to PCAOB inspections for two consecutive years instead of three” </w:t>
      </w:r>
      <w:r>
        <w:rPr>
          <w:rFonts w:ascii="Times New Roman PS Std;serif" w:hAnsi="Times New Roman PS Std;serif"/>
          <w:b w:val="false"/>
          <w:i w:val="false"/>
          <w:caps w:val="false"/>
          <w:smallCaps w:val="false"/>
          <w:sz w:val="20"/>
          <w:bdr w:val="single" w:sz="8" w:space="10" w:color="000000"/>
        </w:rPr>
        <w:t>commencing on page 44.</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Although we do not believe we are required to file with the China Securities Regulatory Commission for this offering under the Trial Administrative Measures of Overseas Securities Offering and Listing by Domestic Enterprises promulgated in February 2023, if we are required to do so, we cannot assure you that we will be able to timely make such filing, in which case we may face sanctions by the CSRC or other PRC regulatory agencies for failure to timely file for this offering.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Although we do not believe we are required to file with the China Securities Regulatory Commission for this offering under the Trial Administrative Measures of Overseas Securities Offering and Listing by Domestic Enterprises promulgated in February 2023, if we are required to do so, we cannot assure you that we will be able to timely make such filing, in which case we may face sanctions by the CSRC or other PRC regulatory agencies for failure to timely file for this offering” </w:t>
      </w:r>
      <w:r>
        <w:rPr>
          <w:rFonts w:ascii="Times New Roman PS Std;serif" w:hAnsi="Times New Roman PS Std;serif"/>
          <w:b w:val="false"/>
          <w:i w:val="false"/>
          <w:caps w:val="false"/>
          <w:smallCaps w:val="false"/>
          <w:sz w:val="20"/>
          <w:bdr w:val="single" w:sz="8" w:space="10" w:color="000000"/>
        </w:rPr>
        <w:t>commencing on page 45.</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 xml:space="preserve">Although we do not believe we are subject to the review by the CAC or other PRC cybersecurity authorities because we have no operations in the mainland of China nor do we possess or process personal information from more than one million users, in light of recent events indicating greater oversight by the CAC over data security, we may be subject to a variety of PRC laws and other obligations regarding cybersecurity and data protection, and any failure to comply with applicable laws and obligations could have a material adverse effect on our business and the listing of Intercont’s </w:t>
      </w:r>
      <w:r>
        <w:rPr>
          <w:rFonts w:ascii="Times New Roman PS Std;serif" w:hAnsi="Times New Roman PS Std;serif"/>
          <w:b w:val="false"/>
          <w:i/>
          <w:caps w:val="false"/>
          <w:smallCaps w:val="false"/>
          <w:sz w:val="20"/>
          <w:bdr w:val="single" w:sz="8" w:space="10" w:color="000000"/>
        </w:rPr>
        <w:t>Class A</w:t>
      </w:r>
      <w:r>
        <w:rPr>
          <w:rFonts w:ascii="Times New Roman PS Std;serif" w:hAnsi="Times New Roman PS Std;serif"/>
          <w:b w:val="false"/>
          <w:i w:val="false"/>
          <w:caps w:val="false"/>
          <w:smallCaps w:val="false"/>
          <w:sz w:val="20"/>
          <w:bdr w:val="single" w:sz="8" w:space="10" w:color="000000"/>
        </w:rPr>
        <w:t xml:space="preserve"> Ordinary Shares.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Although we do not believe we are subject to the review by the CAC or other PRC cybersecurity authorities because we have no operations in the mainland of China nor do we possess or process personal information from more than one million users, in light of recent events indicating greater oversight by the CAC over data security, we may be subject to a variety of PRC laws and other obligations regarding cybersecurity and data protection, and any failure to comply with applicable laws and obligations could have a material adverse effect on our business and the listing of Intercont’s Class A Ordinary Shares” </w:t>
      </w:r>
      <w:r>
        <w:rPr>
          <w:rFonts w:ascii="Times New Roman PS Std;serif" w:hAnsi="Times New Roman PS Std;serif"/>
          <w:b w:val="false"/>
          <w:i w:val="false"/>
          <w:caps w:val="false"/>
          <w:smallCaps w:val="false"/>
          <w:sz w:val="20"/>
          <w:bdr w:val="single" w:sz="8" w:space="10" w:color="000000"/>
        </w:rPr>
        <w:t>commencing on page 46</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Certain existing shareholders have control over our Company and their interests may not be aligned with the interests of our other shareholders.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Certain existing shareholders have control over our Company and their interests may not be aligned with the interests of our other shareholders.” </w:t>
      </w:r>
      <w:r>
        <w:rPr>
          <w:rFonts w:ascii="Times New Roman PS Std;serif" w:hAnsi="Times New Roman PS Std;serif"/>
          <w:b w:val="false"/>
          <w:i w:val="false"/>
          <w:caps w:val="false"/>
          <w:smallCaps w:val="false"/>
          <w:sz w:val="20"/>
          <w:bdr w:val="single" w:sz="8" w:space="10" w:color="000000"/>
        </w:rPr>
        <w:t>commencing on page 47</w:t>
      </w:r>
      <w:r>
        <w:rPr>
          <w:rFonts w:ascii="Times New Roman PS Std;serif" w:hAnsi="Times New Roman PS Std;serif"/>
          <w:b w:val="false"/>
          <w:i/>
          <w:caps w:val="false"/>
          <w:smallCaps w:val="false"/>
          <w:sz w:val="20"/>
          <w:bdr w:val="single" w:sz="8" w:space="10" w:color="000000"/>
        </w:rPr>
        <w: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Shareholders will suffer substantial dilution and the Company will not receive any proceeds if the holders of the Warrants elect to exercise such Warrants using the zero exercise price option.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Shareholders will suffer substantial dilution and the Company will not receive any proceeds if the holders of the Warrants elect to exercise such Warrants using the zero exercise price option” </w:t>
      </w:r>
      <w:r>
        <w:rPr>
          <w:rFonts w:ascii="Times New Roman PS Std;serif" w:hAnsi="Times New Roman PS Std;serif"/>
          <w:b w:val="false"/>
          <w:i w:val="false"/>
          <w:caps w:val="false"/>
          <w:smallCaps w:val="false"/>
          <w:sz w:val="20"/>
          <w:bdr w:val="single" w:sz="8" w:space="10" w:color="000000"/>
        </w:rPr>
        <w:t>commencing on page 48.</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cannot continue to satisfy the continued listing requirements and other rules of the Nasdaq Capital Market, our securities may be delisted, which could negatively impact the price of our securities and your ability to sell them.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If we cannot continue to satisfy the continued listing requirements and other rules of the Nasdaq Capital Market, our securities may be delisted, which could negatively impact the price of our securities and your ability to sell them” </w:t>
      </w:r>
      <w:r>
        <w:rPr>
          <w:rFonts w:ascii="Times New Roman PS Std;serif" w:hAnsi="Times New Roman PS Std;serif"/>
          <w:b w:val="false"/>
          <w:i w:val="false"/>
          <w:caps w:val="false"/>
          <w:smallCaps w:val="false"/>
          <w:sz w:val="20"/>
          <w:bdr w:val="single" w:sz="8" w:space="10" w:color="000000"/>
        </w:rPr>
        <w:t>commencing on page 48.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This is a best efforts offering, no minimum number or dollar amount of securities is required to be sold, and we may not raise the amount of capital we believe is required for our business plans.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This is a best efforts offering, no minimum number or dollar amount of securities is required to be sold, and we may not raise the amount of capital we believe is required for our business plans.” </w:t>
      </w:r>
      <w:r>
        <w:rPr>
          <w:rFonts w:ascii="Times New Roman PS Std;serif" w:hAnsi="Times New Roman PS Std;serif"/>
          <w:b w:val="false"/>
          <w:i w:val="false"/>
          <w:caps w:val="false"/>
          <w:smallCaps w:val="false"/>
          <w:sz w:val="20"/>
          <w:bdr w:val="single" w:sz="8" w:space="10" w:color="000000"/>
        </w:rPr>
        <w:t>commencing on page 49.</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You may experience future dilution as a result of future equity offerings or acquisitions.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You may experience future dilution as a result of future equity offerings or acquisitions” </w:t>
      </w:r>
      <w:r>
        <w:rPr>
          <w:rFonts w:ascii="Times New Roman PS Std;serif" w:hAnsi="Times New Roman PS Std;serif"/>
          <w:b w:val="false"/>
          <w:i w:val="false"/>
          <w:caps w:val="false"/>
          <w:smallCaps w:val="false"/>
          <w:sz w:val="20"/>
          <w:bdr w:val="single" w:sz="8" w:space="10" w:color="000000"/>
        </w:rPr>
        <w:t>commencing on page 49.</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holders of the Warrants elect to exercise such warrants using the cashless exercise option, we may not receive any meaningful amount of additional funds upon the exercise of the Warrant. See “</w:t>
      </w:r>
      <w:r>
        <w:rPr>
          <w:rFonts w:ascii="Times New Roman PS Std;serif" w:hAnsi="Times New Roman PS Std;serif"/>
          <w:b w:val="false"/>
          <w:i/>
          <w:caps w:val="false"/>
          <w:smallCaps w:val="false"/>
          <w:sz w:val="20"/>
          <w:bdr w:val="single" w:sz="8" w:space="10" w:color="000000"/>
        </w:rPr>
        <w:t>Risk Factors — Risks Related to Intercont’s Class A Ordinary Shares and this Offering — If the holders of the Warrants elect to exercise such warrants using the cashless exercise option, we may not receive any meaningful amount of additional funds upon the exercise of the Warrant.” commencing on page 51.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Company with a Holding Company Structure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 is a holding company incorporated in the Cayman Islands. As a holding company with no material operations, Intercont conducts all of its operations through its subsidiaries in Hong Kong and Singapore. Because of our corporate structure as a Cayman Islands holding company with operations conducted through our subsidiaries in Asia, it involves unique risks to investors. Investors in our Intercont’s Class A Ordinary Shares should be aware that they will not and may never directly hold equity interests in the operating subsidiaries, but rather purchasing equity solely in Intercont, the Cayman Islands holding company. Furthermore, shareholders may face difficulties enforcing their legal rights under United States securities laws against Intercont’s directors and officers who are located outside of the United States.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bdr w:val="single" w:sz="8" w:space="10" w:color="000000"/>
        </w:rPr>
      </w:pPr>
      <w:r>
        <w:rPr>
          <w:rFonts w:ascii="Times New Roman PS Std;serif" w:hAnsi="Times New Roman PS Std;serif"/>
          <w:b/>
          <w:i/>
          <w:caps w:val="false"/>
          <w:smallCaps w:val="false"/>
          <w:sz w:val="20"/>
          <w:bdr w:val="single" w:sz="8" w:space="10" w:color="000000"/>
        </w:rPr>
        <w:t>Cash and Asset Flows through Our Organization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date of this prospectus, we conduct all of our revenue-generating operation activities through our wholly owned subsidiaries in Hong Kong. As a result, all of our revenues are received by our Hong Kong Subsidiaries.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date of this prospectus, none of the Hong Kong Subsidiaries has made any dividend payment or distribution to Intercont and Intercont has not made any dividends or distributions to its shareholders. During the year ended June 30, 2025, no dividend declaration or payment occurred. During the year ended June 30, 2024, the Group’s Hong Kong Subsidiaries declared and paid in aggregated of $11.8 million dividends to their original shareholders. During the year ended June 30, 2023, the Group’s Hong Kong Subsidiaries declared and paid in aggregated of $3.8 million dividends to their original shareholders. During the six months ended December 31, 2025 and 2024, no dividend declaration or payment occurred. As of the date of this prospectus, no cash generated from one subsidiary is used to fund another subsidiary’s operations and we do not anticipate any difficulties or limitations on our ability to transfer cash between subsidiaries. Other than discussed above, we do not have any cash management policies that dictate the amount of such funding among our subsidiaries.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Cash may be transferred among Intercont and its subsidiaries, and they may lend to and borrow from each other from time to time for business operation purposes. For the years ended June 30, 2025, 2024 and 2023, inter-company cash transfers among Intercont and its subsidiaries amounted to $50,000, $50,000 and $nil, respectively. For the six months ended December 31, 2025 and 2024, inter-company cash transfers among Intercont and its subsidiaries amounted to $84,337 and $50,000, respectively. No transfers of other assets have occurred among Intercont and its subsidiaries.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Regulatory Permissions and Licenses for Our Operations in Hong Kong and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 spite of the recent developments in the PRC authorities’ regulatory acts, including the CSRC’s promulgation of the Trial Measures on February 17, 2023, the CSRC, Ministry of Finance, and National Administration of State Secrets Protection, and National Archives Administration of China’s joint issuance of the Provisions on Strengthening the Confidentiality and Archive Management Work Relating to the Overseas Securities Offering and Listing by Domestic Enterprises on February 24, 2023, and the CAC’s promulgation of the Measures on Security Assessment of Outbound Data Transfer on July 7, 2022, we do not believe we are subject to such regulations. We have no business operations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nor material connections with the mainland of China. The offering of Intercont’s Class A Ordinary Shares will likely not be regarded as an indirect overseas offering by PRC domestic companies under the Trial Measures and no filing procedures required thereunder will be applicable. We are not required to obtain regulatory filings or approvals issued by competent industry authorities of the mainland of China. In addition, we do not believe the offering of Intercont’s Class A Ordinary Shares requires any approval from or filing with any other authorities of the mainland of China.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But due to the risk of change to current political arrangements between mainland China and Hong Kong, there are risks and uncertainties which we cannot foresee, and rules and regulations in the PRC can change quickly with little or no advance notice. There are risks that the PRC government may intervene or influence our current and future operations in Hong Kong at any time, or may exert more control over offerings conducted overseas and/or foreign investment in issuers likes ourselves. The PRC government has significant authority to intervene or influence the mainland of China or Hong Kong operations of an offshore holding company, such as ours, at any time. If it is determined in the future that the approval or permissions of the CSRC, the CAC or any other regulatory authority is required for the business operations and this offering and we do not receive or maintain the approvals or permissions, or we inadvertently conclude that such approvals or permissions are not required, or applicable laws, regulations, or interpretations change such that we are required to obtain approvals or permissions in the future, these risks, together with uncertainties in the PRC legal system and the interpretation and enforcement of PRC laws, regulations, and policies, could hinder our ability to offer or continue to offer Intercont’s Class A Ordinary Shares, result in a material adverse change to our business operations, and damage our reputation, which could cause Intercont’s Class A Ordinary Shares to significantly decline in value or become worthless.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The Holding Foreign Companies Accountable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Pursuant to the HFCAA and related regulations, if we have filed an audit report issued by a registered public accounting firm that the PCAOB has determined it is unable to inspect and investigate completely, the SEC will identify us as a “Commission-identified Issuer,” and the trading of our securities on any U.S. national securities exchanges, as well as any over-the-counter trading in the United States, will be prohibited if we are identified as a Commission-identified Issuer for two consecutive years. On December 16, 2021, the PCAOB issued a report to notify the SEC of its determination that the PCAOB was unable to inspect or investigate completely registered public accounting firms headquartered in mainland China and Hong Kong. Our former auditor, UHY, is an independent registered public accounting firm that is headquartered in New York, New York. UHY has been inspected by the PCAOB on a regular basis and is not among such accounting firms. Our current auditor, Assentsure, is an independent registered public accounting firm that is headquartered in Singapore, Singapore and is not among such accounting firms. In August 2022, the PCAOB, the CSRC and the Ministry of Finance of the PRC signed the Statement of Protocol, which establishes a specific and accountable framework for the PCAOB to conduct inspections and investigations of PCAOB-governed accounting firms in mainland China and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On December 15, 2022, the PCAOB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outside of our and our auditor’s control. The PCAOB continues to demand complete access in mainland China and Hong Kong moving forward and pursue ongoing investigations and initiate new investigations as needed. The PCAOB has also indicated that it will act immediately to consider the need to issue new determinations with the HFCAA if needed. However, if the PCAOB determines in the future that it no longer has full access to inspect and investigate completely accounting firms in mainland China and Hong Kong and if we use an accounting firm headquartered in one of these jurisdictions to issue an audit report on our financial statements filed with the SEC by then, we may be identified as a Commission-Identified Issuer following our filing of an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If Intercont’s Class A Ordinary Shares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Intercont’s Class A Ordinary Shares when you wish to do so,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risk and uncertainty associated with delisting would have a negative impact on the price of Intercont’s Class A Ordinary Shares. For details, see “</w:t>
      </w:r>
      <w:r>
        <w:rPr>
          <w:rFonts w:ascii="Times New Roman PS Std;serif" w:hAnsi="Times New Roman PS Std;serif"/>
          <w:b w:val="false"/>
          <w:i/>
          <w:caps w:val="false"/>
          <w:smallCaps w:val="false"/>
          <w:sz w:val="20"/>
          <w:bdr w:val="single" w:sz="8" w:space="10" w:color="000000"/>
        </w:rPr>
        <w:t xml:space="preserve">Risk Factors — Risks Related to Intercont’s Class A Ordinary Shares and this Offering — 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w:t>
      </w:r>
      <w:r>
        <w:rPr>
          <w:rFonts w:ascii="Times New Roman PS Std;serif" w:hAnsi="Times New Roman PS Std;serif"/>
          <w:b w:val="false"/>
          <w:i w:val="false"/>
          <w:caps w:val="false"/>
          <w:smallCaps w:val="false"/>
          <w:sz w:val="20"/>
          <w:bdr w:val="single" w:sz="8" w:space="10" w:color="000000"/>
        </w:rPr>
        <w:t>Furthermore, 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 commencing on page 44.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Dividend Policy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Intercont’s board of directors has discretion on whether to distribute dividends, subject to certain restrictions under Cayman Islands law. In addition, Intercont’s shareholders may by ordinary resolution declare a dividend, but no dividend may exceed the amount recommended by its board of directors. In either case, all dividends are subject to certain restrictions under Cayman Islands law, namely that Intercont may only pay dividends out of profits or share premium, and provided always that in no circumstances may a dividend be paid out of the share premium account if this would result in Intercont being unable to pay its debts as they fall due in the ordinary course of business immediately following the date on which the distribution is proposed to be paid. Even if Intercont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 has never declared or paid cash dividends and does not have any present plan to pay any cash dividends on its Ordinary Shares in the foreseeable future after this offering. During the year ended June 30, 2023, the Group’s subsidiaries declared and paid in aggregated of $3.8 million dividends to their original shareholder controlled by the major shareholders and the Group’s subsidiaries subsequently declared and paid in aggregated of $11.8 million dividends to their original shareholder controlled by the major shareholders by March 12, 2024. We currently intend to retain most, if not all, of our available funds and any future earnings to operate and grow our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an Emerging Growth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 is an “emerging growth company”, as defined in the “JOBS Act”, and it is eligible to take advantage of certain exemptions from various reporting and financial disclosure requirements that are applicable to other public companies that are not emerging growth companies, including, but not limited to, (1) presenting only two years of audited financial statements and only two years of related management discussion and analysis of financial conditions and results of operations in this prospectus, (2) not being required to comply with the auditor attestation requirements of Section 404 of the Sarbanes-Oxley Act of 2002 (the “Sarbanes-Oxley Act”), (3) reduced disclosure obligations regarding executive compensation in our periodic reports and proxy statements, and (4) exemptions from the requirements of holding a non-binding advisory vote on executive compensation and shareholder approval of any golden parachute payments not previously approved. We intend to take advantage of these exemptions. As a result, investors may find investing in Intercont’s Class A Ordinary Shares less attractive.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Section 107 of the JOBS Act also provides that an emerging growth company can take advantage of the extended transition period provided in Section 7(a)(2)(B) of the Securities Act, for complying with new or revised accounting standards. As a result, an emerging growth company can delay the adoption of certain accounting standards until those standards would otherwise apply to private companies. We intend to take advantage of such extended transition period.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 could remain an emerging growth company for up to five years, or until the earliest of (1) the last day of the first fiscal year in which its annual gross revenues exceed $1.235 billion, (2) the date that Intercont becomes a “large accelerated filer” as defined in Rule 12b-2 under the Exchange Act, which would occur if the market value of Intercont’s Class A Ordinary Shares that is held by non-affiliates exceeds $700 million as of the last business day of its most recently completed second fiscal quarter and Intercont has been publicly reporting for at least 12 months, or (3) the date on which Intercont has issued more than $1 billion in non-convertible debt during the preceding three-year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 Foreign Private Issuer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 is a “foreign private issuer” within the meaning of the rules under the Exchange Act. Accordingly, Intercont is subject to the period reporting and other informational requirements under the Exchange Act as a non-U.S. company with foreign private issuer status. As such, Intercont is exempt from certain provisions of the Exchange Act that are applicable to U.S. domestic public companies, including: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 is not required to provide as many Exchange Act reports, or as frequently, as a domestic public company;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for interim reporting, Intercont is permitted to comply with its home country requirements, which are less rigorous than the rules that apply to domestic public companies;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 is not required to provide the same level of disclosure on certain issues, such as executive compensation;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 is exempt from provisions of Regulation FD aimed at preventing issuers from making selective disclosures of material information;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 is not required to comply with the sections of the Exchange Act regulating the solicitation of proxies, consents or authorizations in respect of a security registered under the Exchange Act;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Intercont’s insiders are not required to comply with Section 16 of the Exchange Act requiring such individuals and entities to file public reports of their share ownership and trading activities and establishing insider liability for profits realized from any “short-swing” trading transaction. On December 18, 2025, the U.S. President signed into law the Holding Foreign Insiders Accountable Act (HFIAA), which eliminates the exemption to comply with Section 16 of the Exchange Act. The new law has taken effect on March 18, 2026. Directors and officers of foreign private issuers are required to publicly report their ownership in, and transactions involving, the applicable foreign private issuer’s securities to the SEC on Forms 3, 4, and 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Furthermore, Nasdaq Rule 5615(a)(3) provides that a foreign private issuer, such as Intercont, may rely on its home country corporate governance practices in lieu of certain of the rules in Nasdaq Rule 5600 Series and Rule 5250(d), provided that Intercont nevertheless complies with Nasdaq’s Notification of Noncompliance requirement (Rule 5625), the Voting Rights requirement (Rule 5640), the Diverse Board Representation Rule (Rule 5605(f)), the Board Diversity Disclosure Rule (Rule 5606) and that Intercont has an audit committee that satisfies Rule 5605(c)(3), consisting of committee members that meet the independence requirements of Rule 5605(c)(2)(A)(ii). Intercont relies on its home country corporate governance practices in lieu of certain of the rules of Nasdaq, and as a result, Intercont’s shareholders do not have the same protections afforded to shareholders of companies that are subject to all of the corporate governance requirements of Nasdaq.</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Intercont is required to file an annual report on Form 20-F within four months of the end of each fiscal year. As a foreign private issuer, Intercont is not generally required to provide quarterly financial information to the shareholders. Additionally, Intercont is required to file an interim balance sheet and income statement as of the end of our second quarter. These interim financial statements are not required to reconcile to US GAAP, but they must be provided no later than 6 months following the end of Intercont’s second quarter. Press releases relating to financial results and material events will also be furnished to the SEC on Form 6-K. However, the information Intercont is required to file with or furnish to the SEC will be less extensive and less timely than that required to be filed with the SEC by U.S. domestic issuers. A foreign private issuer that follows a home country practice in lieu of one or more of the listing rules is required to disclose in its annual reports filed with the SEC each requirement that it does not follow and describe the home country practice followed by the issuer in lieu of such requirements. Intercont relies on its home country corporate governance practices in lieu of certain of the rules of Nasdaq, and as a result, its shareholders may not have the same protections afforded to shareholders of companies that are subject to all of the corporate governance requirements of Nasdaq. In addition, Intercont may utilize these exemptions for as long as it continues to qualify as a foreign private issuer.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Being a foreign private issuer and an emerging growth company also exempts Intercont from certain more stringent executive compensation disclosure rules. Thus, even if Intercont no longer qualifies as an emerging growth company but remains a foreign private issuer, it will continue to be exempt from the more stringent compensation disclosures required of companies that are neither emerging growth companies nor foreign private issuers.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principal executive offices are located at 39 OCEAN DRIVE, SINGAPORE, Singapore, 098187. Our registered address is located at ICS Corporate Services (Cayman) Limited, Palm Grove Unit 4, 265 Smith Road, George Town, P.O. Box 52A Edgewater Way, #1653, Grand Cayman KY1-9006, 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agent for service of process in the United States is Cogency Global Inc., located at 122 East 42nd Street, 18th Floor, New York, New York 10168.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Investors should contact us for any inquiries through the address and telephone number of our principal executive office. Our principal website is </w:t>
      </w:r>
      <w:r>
        <w:rPr>
          <w:rFonts w:ascii="Times New Roman PS Std;serif" w:hAnsi="Times New Roman PS Std;serif"/>
          <w:b w:val="false"/>
          <w:i/>
          <w:caps w:val="false"/>
          <w:smallCaps w:val="false"/>
          <w:sz w:val="20"/>
          <w:bdr w:val="single" w:sz="8" w:space="10" w:color="000000"/>
        </w:rPr>
        <w:t>https://www.intercontcayman.com</w:t>
      </w:r>
      <w:r>
        <w:rPr>
          <w:rFonts w:ascii="Times New Roman PS Std;serif" w:hAnsi="Times New Roman PS Std;serif"/>
          <w:b w:val="false"/>
          <w:i w:val="false"/>
          <w:caps w:val="false"/>
          <w:smallCaps w:val="false"/>
          <w:sz w:val="20"/>
          <w:bdr w:val="single" w:sz="8" w:space="10" w:color="000000"/>
        </w:rPr>
        <w:t>. The information contained on our website is not a part of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Legal Proceedings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As of the date hereof, to our knowledge, none of Intercont or its subsidiaries is currently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Conventions That Apply to This Prospectus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Unless otherwise indicated, all numbers and financial information are presented in U.S. Dollars.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Exchange Act” refers to the Securities Exchange Act of 1934, as amended.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Hong Kong” or “HK” refers to the Hong Kong Special Administrative Region of the People’s Republic of China.</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HKD”, “HK$” or “H.K. Dollars” refers to the official legal currency of Hong Kong.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PRC” or “China” refers to the People’s Republic of China, including Hong Kong Special Administrative Region (“Hong Kong”), Macau Special Administrative Region (“Macau”) and Taiwan, for purposes of this prospectus only; and in the future filings of the Company’s registration statements under the Securities Act of 1933, as amended, or its periodic reports under the Securities Exchange Act of 1934, as amended, the definition of China or PRC will include Hong Kong, Macau or Taiwan. And only in the context of describing PRC laws, the PRC laws do not include any law, regulation, statute, rule, order, decree, notice, and supreme court’s judicial interpretation or other legislation of the Hong Kong Special Administrative Region, the Macau Special Administrative Region or Taiwan.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Securities Act” refers to the Securities Act of 1933, as amended.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caps w:val="false"/>
          <w:smallCaps w:val="false"/>
          <w:sz w:val="20"/>
          <w:bdr w:val="single" w:sz="8" w:space="10" w:color="000000"/>
        </w:rPr>
        <w:t>$”, “USD”,“US$” or “U.S. Dollars” refers to the official legal currency of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reporting currency is U.S. dollars. Although our operations may expose us to certain levels of foreign currency risk, our transactions are predominantly denominated in U.S. dollar and a majority of the subsidiaries’ primary cash flows are U.S. dollar denominated. Transactions in currencies other than the functional currency are translated at the exchange rate in effect at the date of each transaction. Differences in exchange rates during the period between the date a transaction denominated in a foreign currency is consummated and the date on which it is either settled or translated, are recognized in the combined statements of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Internet site addresses in this prospectus are included for reference only and the information contained in any website, including our website, is not incorporated by reference into, and does not form part of,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2" w:name="T22"/>
      <w:bookmarkEnd w:id="2"/>
      <w:r>
        <w:rPr>
          <w:rFonts w:ascii="Times New Roman PS Std;serif" w:hAnsi="Times New Roman PS Std;serif"/>
          <w:b/>
          <w:i w:val="false"/>
          <w:caps w:val="false"/>
          <w:smallCaps w:val="false"/>
          <w:sz w:val="20"/>
          <w:bdr w:val="single" w:sz="8" w:space="10" w:color="000000"/>
        </w:rPr>
        <w:t xml:space="preserve">THE OFFERING </w:t>
      </w:r>
    </w:p>
    <w:tbl>
      <w:tblPr>
        <w:tblW w:w="10205" w:type="dxa"/>
        <w:jc w:val="left"/>
        <w:tblInd w:w="0" w:type="dxa"/>
        <w:tblLayout w:type="fixed"/>
        <w:tblCellMar>
          <w:top w:w="0" w:type="dxa"/>
          <w:left w:w="0" w:type="dxa"/>
          <w:bottom w:w="0" w:type="dxa"/>
          <w:right w:w="0" w:type="dxa"/>
        </w:tblCellMar>
      </w:tblPr>
      <w:tblGrid>
        <w:gridCol w:w="1885"/>
        <w:gridCol w:w="146"/>
        <w:gridCol w:w="8174"/>
      </w:tblGrid>
      <w:tr>
        <w:trPr/>
        <w:tc>
          <w:tcPr>
            <w:tcW w:w="1885"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Units offered by us</w:t>
            </w:r>
          </w:p>
        </w:tc>
        <w:tc>
          <w:tcPr>
            <w:tcW w:w="146" w:type="dxa"/>
            <w:tcBorders/>
          </w:tcPr>
          <w:p>
            <w:pPr>
              <w:pStyle w:val="TableContents"/>
              <w:bidi w:val="0"/>
              <w:spacing w:before="0" w:after="283"/>
              <w:jc w:val="left"/>
              <w:rPr/>
            </w:pPr>
            <w:r>
              <w:rPr/>
              <w:t> </w:t>
            </w:r>
          </w:p>
        </w:tc>
        <w:tc>
          <w:tcPr>
            <w:tcW w:w="8174"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[8,000,000] Units, based on the public offering price of $[•] per Unit, with each unit consisting of one Class A Ordinary Share and one Warrant.</w:t>
            </w:r>
          </w:p>
        </w:tc>
      </w:tr>
      <w:tr>
        <w:trPr/>
        <w:tc>
          <w:tcPr>
            <w:tcW w:w="1885"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Shares offered by us</w:t>
            </w:r>
          </w:p>
        </w:tc>
        <w:tc>
          <w:tcPr>
            <w:tcW w:w="146" w:type="dxa"/>
            <w:tcBorders/>
          </w:tcPr>
          <w:p>
            <w:pPr>
              <w:pStyle w:val="TableContents"/>
              <w:bidi w:val="0"/>
              <w:spacing w:before="0" w:after="283"/>
              <w:jc w:val="left"/>
              <w:rPr/>
            </w:pPr>
            <w:r>
              <w:rPr/>
              <w:t> </w:t>
            </w:r>
          </w:p>
        </w:tc>
        <w:tc>
          <w:tcPr>
            <w:tcW w:w="817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[8,000,000] Class A Ordinary Shares included in the Units, and up to [16,000,000] Class A Ordinary Shares issuable upon exercise of the Warrants at a zero exercise price</w:t>
            </w:r>
          </w:p>
        </w:tc>
      </w:tr>
      <w:tr>
        <w:trPr/>
        <w:tc>
          <w:tcPr>
            <w:tcW w:w="1885"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Warrants offered by us</w:t>
            </w:r>
          </w:p>
        </w:tc>
        <w:tc>
          <w:tcPr>
            <w:tcW w:w="146" w:type="dxa"/>
            <w:tcBorders/>
          </w:tcPr>
          <w:p>
            <w:pPr>
              <w:pStyle w:val="TableContents"/>
              <w:bidi w:val="0"/>
              <w:spacing w:before="0" w:after="283"/>
              <w:jc w:val="left"/>
              <w:rPr/>
            </w:pPr>
            <w:r>
              <w:rPr/>
              <w:t> </w:t>
            </w:r>
          </w:p>
        </w:tc>
        <w:tc>
          <w:tcPr>
            <w:tcW w:w="817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to [8,000,000] Warrants.</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will become exercisable beginning on the Initial Exercise Date at an initial exercise price of $[•]. A holder of the Warrants may also effect the zero exercise price option at any time while the Warrants are outstanding. Under the zero exercise price option, the holder of the Warrants, has the right to receive the number of Class A Ordinary Shares as set forth in the applicable Warrant, which will be more than such number of Class A Ordinary Shares that is issuable upon cash exercise or cashless exercise. The Warrants will expire on the six month period of the Initial Exercise Date. See “</w:t>
            </w:r>
            <w:r>
              <w:rPr>
                <w:rFonts w:ascii="Times New Roman PS Std;serif" w:hAnsi="Times New Roman PS Std;serif"/>
                <w:b w:val="false"/>
                <w:i/>
                <w:caps w:val="false"/>
                <w:smallCaps w:val="false"/>
                <w:sz w:val="20"/>
              </w:rPr>
              <w:t>Description of Securities — Warrants</w:t>
            </w:r>
            <w:r>
              <w:rPr>
                <w:rFonts w:ascii="Times New Roman PS Std;serif" w:hAnsi="Times New Roman PS Std;serif"/>
                <w:b w:val="false"/>
                <w:i w:val="false"/>
                <w:caps w:val="false"/>
                <w:smallCaps w:val="false"/>
                <w:sz w:val="20"/>
              </w:rPr>
              <w:t>”</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registering the issuance of up to [16,000,000] Class A Ordinary Shares underlying the Warrants</w:t>
            </w:r>
          </w:p>
        </w:tc>
      </w:tr>
      <w:tr>
        <w:trPr/>
        <w:tc>
          <w:tcPr>
            <w:tcW w:w="1885"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Ordinary Shares outstanding prior to the offering</w:t>
            </w:r>
          </w:p>
        </w:tc>
        <w:tc>
          <w:tcPr>
            <w:tcW w:w="146" w:type="dxa"/>
            <w:tcBorders/>
          </w:tcPr>
          <w:p>
            <w:pPr>
              <w:pStyle w:val="TableContents"/>
              <w:bidi w:val="0"/>
              <w:spacing w:before="0" w:after="283"/>
              <w:jc w:val="left"/>
              <w:rPr/>
            </w:pPr>
            <w:r>
              <w:rPr/>
              <w:t> </w:t>
            </w:r>
          </w:p>
        </w:tc>
        <w:tc>
          <w:tcPr>
            <w:tcW w:w="817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1,437,740 Class A Ordinary Shares.</w:t>
            </w:r>
          </w:p>
        </w:tc>
      </w:tr>
      <w:tr>
        <w:trPr/>
        <w:tc>
          <w:tcPr>
            <w:tcW w:w="1885"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Ordinary Shares to be outstanding after the offering</w:t>
            </w:r>
          </w:p>
        </w:tc>
        <w:tc>
          <w:tcPr>
            <w:tcW w:w="146" w:type="dxa"/>
            <w:tcBorders/>
          </w:tcPr>
          <w:p>
            <w:pPr>
              <w:pStyle w:val="TableContents"/>
              <w:bidi w:val="0"/>
              <w:spacing w:before="0" w:after="283"/>
              <w:jc w:val="left"/>
              <w:rPr/>
            </w:pPr>
            <w:r>
              <w:rPr/>
              <w:t> </w:t>
            </w:r>
          </w:p>
        </w:tc>
        <w:tc>
          <w:tcPr>
            <w:tcW w:w="817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[9,437,740] Class A Ordinary Shares (assuming none of the Warrants issued in this offering are exercised).</w:t>
            </w:r>
          </w:p>
        </w:tc>
      </w:tr>
      <w:tr>
        <w:trPr/>
        <w:tc>
          <w:tcPr>
            <w:tcW w:w="1885"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Offering price</w:t>
            </w:r>
          </w:p>
        </w:tc>
        <w:tc>
          <w:tcPr>
            <w:tcW w:w="146" w:type="dxa"/>
            <w:tcBorders/>
          </w:tcPr>
          <w:p>
            <w:pPr>
              <w:pStyle w:val="TableContents"/>
              <w:bidi w:val="0"/>
              <w:spacing w:before="0" w:after="283"/>
              <w:jc w:val="left"/>
              <w:rPr/>
            </w:pPr>
            <w:r>
              <w:rPr/>
              <w:t> </w:t>
            </w:r>
          </w:p>
        </w:tc>
        <w:tc>
          <w:tcPr>
            <w:tcW w:w="817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per Unit (consisting of one Class A Ordinary Share and one Warrant).</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initial public offering price per Unit in the Offering will be determined by us based on negotiations with the placement agent on behalf of the prospective investors in the Offering, which will be mainly based on latest market price prior to the pricing of the Offering. The last reported sale price of our Class A Ordinary Shares on The Nasdaq Capital Market on [•] was $[•] per Class A Ordinary Share.</w:t>
            </w:r>
          </w:p>
        </w:tc>
      </w:tr>
      <w:tr>
        <w:trPr/>
        <w:tc>
          <w:tcPr>
            <w:tcW w:w="1885"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w:t>
            </w:r>
          </w:p>
        </w:tc>
        <w:tc>
          <w:tcPr>
            <w:tcW w:w="146" w:type="dxa"/>
            <w:tcBorders/>
          </w:tcPr>
          <w:p>
            <w:pPr>
              <w:pStyle w:val="TableContents"/>
              <w:bidi w:val="0"/>
              <w:spacing w:before="0" w:after="283"/>
              <w:jc w:val="left"/>
              <w:rPr/>
            </w:pPr>
            <w:r>
              <w:rPr/>
              <w:t> </w:t>
            </w:r>
          </w:p>
        </w:tc>
        <w:tc>
          <w:tcPr>
            <w:tcW w:w="817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Ordinary Shares are listed on The Nasdaq Capital Market under the symbol “NCT”.</w:t>
            </w:r>
          </w:p>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established public trading market for the Warrants, and we do not intend to list these securities on any national securities exchange or trading system. Without a trading market, the liquidity of the Warrants will be limited.</w:t>
            </w:r>
          </w:p>
        </w:tc>
      </w:tr>
      <w:tr>
        <w:trPr/>
        <w:tc>
          <w:tcPr>
            <w:tcW w:w="1885"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8174"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the net proceeds from this offering to us will be approximately $[•], after deducting the estimated placement agent fees and expected offering expenses payable by us, and none of the Warrants issued in this offering are exercised. Even if the Warrants are exercised, we do not expect to receive any proceeds from the exercise of the Warrants because it is highly unlikely that a holder of the Warrants would elect to exercise the Warrants by paying cash or via cashless exercise in lieu of the zero exercise price option.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29"/>
        <w:gridCol w:w="146"/>
        <w:gridCol w:w="8830"/>
      </w:tblGrid>
      <w:tr>
        <w:trPr/>
        <w:tc>
          <w:tcPr>
            <w:tcW w:w="1229"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8830"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use most of the net proceeds to us from this offering for general working capital purposes and other general corporate purposes. A portion of the proceeds may be used to repurchase Class A Ordinary Shares held by certain Pre-IPO shareholders, and the exact amount and timing of such repurchase will be determined in the Board’s discretion based on its evaluation of the Company’s business conditions. See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 beginning on page 55.</w:t>
            </w:r>
          </w:p>
        </w:tc>
      </w:tr>
      <w:tr>
        <w:trPr/>
        <w:tc>
          <w:tcPr>
            <w:tcW w:w="122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Factors</w:t>
            </w:r>
          </w:p>
        </w:tc>
        <w:tc>
          <w:tcPr>
            <w:tcW w:w="146" w:type="dxa"/>
            <w:tcBorders/>
          </w:tcPr>
          <w:p>
            <w:pPr>
              <w:pStyle w:val="TableContents"/>
              <w:bidi w:val="0"/>
              <w:spacing w:before="0" w:after="283"/>
              <w:jc w:val="left"/>
              <w:rPr/>
            </w:pPr>
            <w:r>
              <w:rPr/>
              <w:t> </w:t>
            </w:r>
          </w:p>
        </w:tc>
        <w:tc>
          <w:tcPr>
            <w:tcW w:w="88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“Risk Factors” and other information included in this prospectus for a discussion of the risks you should carefully consider before deciding to invest in Intercont’s Class A Ordinary Shares.</w:t>
            </w:r>
          </w:p>
        </w:tc>
      </w:tr>
      <w:tr>
        <w:trPr/>
        <w:tc>
          <w:tcPr>
            <w:tcW w:w="1229" w:type="dxa"/>
            <w:tcBorders/>
          </w:tcPr>
          <w:p>
            <w:pPr>
              <w:pStyle w:val="TableContents"/>
              <w:keepNext w:val="false"/>
              <w:widowControl/>
              <w:pBdr/>
              <w:bidi w:val="0"/>
              <w:spacing w:before="16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 and register</w:t>
            </w:r>
          </w:p>
        </w:tc>
        <w:tc>
          <w:tcPr>
            <w:tcW w:w="146" w:type="dxa"/>
            <w:tcBorders/>
          </w:tcPr>
          <w:p>
            <w:pPr>
              <w:pStyle w:val="TableContents"/>
              <w:bidi w:val="0"/>
              <w:spacing w:before="0" w:after="283"/>
              <w:jc w:val="left"/>
              <w:rPr/>
            </w:pPr>
            <w:r>
              <w:rPr/>
              <w:t> </w:t>
            </w:r>
          </w:p>
        </w:tc>
        <w:tc>
          <w:tcPr>
            <w:tcW w:w="8830"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Transhare Corporation</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bdr w:val="single" w:sz="8" w:space="10" w:color="000000"/>
        </w:rPr>
      </w:pPr>
      <w:bookmarkStart w:id="3" w:name="T992026"/>
      <w:bookmarkEnd w:id="3"/>
      <w:r>
        <w:rPr>
          <w:rFonts w:ascii="Times New Roman PS Std;serif" w:hAnsi="Times New Roman PS Std;serif"/>
          <w:b/>
          <w:i w:val="false"/>
          <w:caps w:val="false"/>
          <w:smallCaps w:val="false"/>
          <w:sz w:val="20"/>
          <w:bdr w:val="single" w:sz="8" w:space="10" w:color="000000"/>
        </w:rPr>
        <w:t xml:space="preserve">SUMMARY OF COMBINED AND CONSOLIDATED FINANCIAL AND OPERATING DATA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Combined and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summary combined and consolidated statements of operations for the six months ended December 31, 2025 and 2024 and for the years ended June 30, 2025, 2024 and 2023, summary combined and consolidated balance sheets data as of December 31, 2025 and June 30, 2025 and 2024 and summary combined and consolidated cash flows data for the six months ended December 31, 2025 and 2024 and for the years ended June 30, 2025, 2024 and 2023 have been derived from our audited combined and consolidated financial statements included elsewhere in this 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combined and consolidated financial statements are prepared and presented in accordance with accounting principles generally accepted in the United States of America, or U.S. GAAP. Our historical results are not necessarily indicative of results expected for future periods. Our historical results are not necessarily indicative of results expected for future periods. You should read this Summary Combined and Consolidated Financial Data section together with our combined and consolidated financial statements and the related notes and “Management’s Discussion and Analysis of Financial Condition and Results of Operations” included elsewhere in this 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our summary combined and consolidated statements of operations data for the periods indicated:</w:t>
      </w:r>
    </w:p>
    <w:tbl>
      <w:tblPr>
        <w:tblW w:w="9749" w:type="dxa"/>
        <w:jc w:val="left"/>
        <w:tblInd w:w="0" w:type="dxa"/>
        <w:tblLayout w:type="fixed"/>
        <w:tblCellMar>
          <w:top w:w="0" w:type="dxa"/>
          <w:left w:w="0" w:type="dxa"/>
          <w:bottom w:w="0" w:type="dxa"/>
          <w:right w:w="0" w:type="dxa"/>
        </w:tblCellMar>
      </w:tblPr>
      <w:tblGrid>
        <w:gridCol w:w="5506"/>
        <w:gridCol w:w="146"/>
        <w:gridCol w:w="301"/>
        <w:gridCol w:w="1396"/>
        <w:gridCol w:w="256"/>
        <w:gridCol w:w="146"/>
        <w:gridCol w:w="301"/>
        <w:gridCol w:w="1396"/>
        <w:gridCol w:w="301"/>
      </w:tblGrid>
      <w:tr>
        <w:trPr/>
        <w:tc>
          <w:tcPr>
            <w:tcW w:w="55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09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r>
      <w:tr>
        <w:trPr/>
        <w:tc>
          <w:tcPr>
            <w:tcW w:w="55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 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9,176,820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9,977,858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 third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1,445,122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1,429,265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 related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1,966,321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1,979,244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12,588,263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13,386,367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time charter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6,676,992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6,509,744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vessel management services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2,905,329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3,054,356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9,582,321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9,564,100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3,005,942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3,822,267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3,894,427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1,261,906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574,041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436,024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4,468,468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1,697,930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(Loss)/income from operations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(1,462,526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2,124,337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(1,192,046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(1,191,971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(28,139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(39,965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expenses,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(1,219,863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(1,228,405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5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(Loss)/income before income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(2,682,389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895,932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 for income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(2,682,389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895,932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908"/>
        <w:gridCol w:w="146"/>
        <w:gridCol w:w="301"/>
        <w:gridCol w:w="1396"/>
        <w:gridCol w:w="241"/>
        <w:gridCol w:w="146"/>
        <w:gridCol w:w="301"/>
        <w:gridCol w:w="1396"/>
        <w:gridCol w:w="241"/>
        <w:gridCol w:w="146"/>
        <w:gridCol w:w="301"/>
        <w:gridCol w:w="1396"/>
        <w:gridCol w:w="286"/>
      </w:tblGrid>
      <w:tr>
        <w:trPr/>
        <w:tc>
          <w:tcPr>
            <w:tcW w:w="390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15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39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3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 third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7,332,097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13,043,409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19,306,369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12,281,701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13,999,534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 third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1,761,184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1,879,943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557,726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4,068,128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4,033,195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4,844,888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25,135,681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25,526,936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32,445,557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time charter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12,172,641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12,958,301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13,151,715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vessel management services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5,127,060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5,218,970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4,916,597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17,299,701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18,177,271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18,068,312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7,835,980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7,349,665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14,377,245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2,314,051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1,669,958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876,437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621,024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2,935,075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2,270,958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876,437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4,900,905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5,078,707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13,500,808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307,225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194,576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(1,911,780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(2,696,117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(2,718,304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0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111,250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450,253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(89,391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(1,796,638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(1,938,639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(2,613,119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9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before income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3,104,267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3,140,068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10,887,689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9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3,104,267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3,140,068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10,887,689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our summary combined and consolidated statements of balance sheet data as of December 31, 2025 and June 30, 2025 and 2024:</w:t>
      </w:r>
    </w:p>
    <w:tbl>
      <w:tblPr>
        <w:tblW w:w="6747" w:type="dxa"/>
        <w:jc w:val="left"/>
        <w:tblInd w:w="0" w:type="dxa"/>
        <w:tblLayout w:type="fixed"/>
        <w:tblCellMar>
          <w:top w:w="0" w:type="dxa"/>
          <w:left w:w="0" w:type="dxa"/>
          <w:bottom w:w="0" w:type="dxa"/>
          <w:right w:w="0" w:type="dxa"/>
        </w:tblCellMar>
      </w:tblPr>
      <w:tblGrid>
        <w:gridCol w:w="3016"/>
        <w:gridCol w:w="146"/>
        <w:gridCol w:w="301"/>
        <w:gridCol w:w="1396"/>
        <w:gridCol w:w="146"/>
        <w:gridCol w:w="301"/>
        <w:gridCol w:w="1441"/>
      </w:tblGrid>
      <w:tr>
        <w:trPr/>
        <w:tc>
          <w:tcPr>
            <w:tcW w:w="30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12,649,632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18,375,425</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Non-Current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50,563,449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52,446,956</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63,213,081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70,822,381</w:t>
            </w:r>
          </w:p>
        </w:tc>
      </w:tr>
      <w:tr>
        <w:trPr/>
        <w:tc>
          <w:tcPr>
            <w:tcW w:w="30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28,818,311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34,064,396</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Non-Current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9,809,192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11,929,967</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38,627,503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45,994,363</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24,585,578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24,828,018</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63,213,081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70,822,381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6747" w:type="dxa"/>
        <w:jc w:val="left"/>
        <w:tblInd w:w="0" w:type="dxa"/>
        <w:tblLayout w:type="fixed"/>
        <w:tblCellMar>
          <w:top w:w="0" w:type="dxa"/>
          <w:left w:w="0" w:type="dxa"/>
          <w:bottom w:w="0" w:type="dxa"/>
          <w:right w:w="0" w:type="dxa"/>
        </w:tblCellMar>
      </w:tblPr>
      <w:tblGrid>
        <w:gridCol w:w="3016"/>
        <w:gridCol w:w="146"/>
        <w:gridCol w:w="301"/>
        <w:gridCol w:w="1396"/>
        <w:gridCol w:w="146"/>
        <w:gridCol w:w="301"/>
        <w:gridCol w:w="1441"/>
      </w:tblGrid>
      <w:tr>
        <w:trPr/>
        <w:tc>
          <w:tcPr>
            <w:tcW w:w="30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8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30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18,375,425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5,109,072</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Non-Current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52,446,956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60,038,415</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70,822,381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65,147,487</w:t>
            </w:r>
          </w:p>
        </w:tc>
      </w:tr>
      <w:tr>
        <w:trPr/>
        <w:tc>
          <w:tcPr>
            <w:tcW w:w="30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34,064,396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35,404,025</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Non-Current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11,929,967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18,810,659</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45,994,363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54,214,684</w:t>
            </w:r>
          </w:p>
        </w:tc>
      </w:tr>
      <w:tr>
        <w:trPr/>
        <w:tc>
          <w:tcPr>
            <w:tcW w:w="30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24,828,018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10,932,803</w:t>
            </w:r>
          </w:p>
        </w:tc>
      </w:tr>
      <w:tr>
        <w:trPr/>
        <w:tc>
          <w:tcPr>
            <w:tcW w:w="30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70,822,381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65,147,487</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following table presents our summary combined and consolidated statements of cash flow data for the periods indicated:</w:t>
      </w:r>
    </w:p>
    <w:tbl>
      <w:tblPr>
        <w:tblW w:w="8849" w:type="dxa"/>
        <w:jc w:val="left"/>
        <w:tblInd w:w="0" w:type="dxa"/>
        <w:tblLayout w:type="fixed"/>
        <w:tblCellMar>
          <w:top w:w="0" w:type="dxa"/>
          <w:left w:w="0" w:type="dxa"/>
          <w:bottom w:w="0" w:type="dxa"/>
          <w:right w:w="0" w:type="dxa"/>
        </w:tblCellMar>
      </w:tblPr>
      <w:tblGrid>
        <w:gridCol w:w="5056"/>
        <w:gridCol w:w="146"/>
        <w:gridCol w:w="286"/>
        <w:gridCol w:w="1201"/>
        <w:gridCol w:w="241"/>
        <w:gridCol w:w="146"/>
        <w:gridCol w:w="286"/>
        <w:gridCol w:w="1201"/>
        <w:gridCol w:w="286"/>
      </w:tblGrid>
      <w:tr>
        <w:trPr/>
        <w:tc>
          <w:tcPr>
            <w:tcW w:w="5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4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r>
      <w:tr>
        <w:trPr/>
        <w:tc>
          <w:tcPr>
            <w:tcW w:w="5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(7,212,036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3,182,157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8,963,561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(546,901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(3,357,613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(1,481,971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4178"/>
        <w:gridCol w:w="146"/>
        <w:gridCol w:w="286"/>
        <w:gridCol w:w="1321"/>
        <w:gridCol w:w="241"/>
        <w:gridCol w:w="146"/>
        <w:gridCol w:w="286"/>
        <w:gridCol w:w="1321"/>
        <w:gridCol w:w="241"/>
        <w:gridCol w:w="146"/>
        <w:gridCol w:w="286"/>
        <w:gridCol w:w="1321"/>
        <w:gridCol w:w="286"/>
      </w:tblGrid>
      <w:tr>
        <w:trPr/>
        <w:tc>
          <w:tcPr>
            <w:tcW w:w="417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8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417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7,401,485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6,477,442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13,569,094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(11,253,967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10,524,341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(23,995,575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5,749,310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(16,666,135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3,411,332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21"/>
      <w:bookmarkEnd w:id="4"/>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An investment in Intercont’s Class A Ordinary Shares involves significant risks. You should carefully consider all of the information in this prospectus, including the risks and uncertainties described below, before making an investment in Intercont’s Class A Ordinary Shares. Any of the following risks could have a material adverse effect on our business, financial condition and results of operations. In any such case, the market price of Intercont’s Class A Ordinary Shares could decline, and you may lose all or part of your investment.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Business and Industry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report of our independent registered public accounting firm on our financial statements includes an explanatory paragraph emphasizing that the Company’s ability to continue as a going concern is dependent, in part, on receiving financial support from the Company’s primary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The Group’s primary shareholders have agreed to provide financial support commitment to the Company until October 31, 2026. As of December 31, 2025, the Company had cash and cash equivalents of approximately $4.0 million.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determines that the cash requirements exceed amounts of cash on hand, it may seek to issue debt or equity securities or obtain a credit facility. Taking into account the ability for the Group to raise finances, the management has alleviated the substantial doubt about the Group’s ability to continue as a going concern. While the management believes in the Group’s ability to raise additional funds by issuing debt or equity securities or obtaining a credit facility and the viability of its strategy, there can be no assurances that they will be successful.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Ongoing geopolitical tensions around the world may have a material adverse effect on our business,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participant in the international maritime business, we face risks associated with heightened tensions in geopolitical and economic relations. Rivalries and sanctions between major powers, including the United States and China, terrorist threats, wars and other conflicts involving Ukraine, the Middle East and elsewhere have created increased global uncertainty. Such geopolitical tensions, along with trade disputes and regional conflicts, may result in economic instability, market volatility, and regulatory changes, which could impact our supply chain, operations, and consumer demand.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Recently, the United States has proposed to impose multiple rounds of tariffs on a wide range of goods imported from multiple countries, including China, and China has responded with retaliatory tariffs. Since February 2025, the U.S. administration has proposed to increase the total tariff level for imported Chinese goods to 125% and additional tariff increase could be imposed as the trade tension between the two countries continues to heighten. On April 9, 2025, China has responded by hiking its levies on U.S. imports to 84% from 34%. Additionally, the United States Trade Representative (“USTR”) effected Section 301 Action on China, charging fees on Chinese-built ships and vessel owners and operators of China, which fees would increase over the following years. On October 24, 2025, the USTR also initiated Section 301 investigation of China’s implementation of the Economic and Trade Agreement Between the Government of the United States of America and the Government of the People’s Republic of China (“Phase One Agreement”). USTR will examine whether China has fully implemented its commitments under the Phase One Agreement, the burden or restriction on U.S. commerce resulting from any non-implementation by China of its commitments, and what action, if any, should be taken in response. These measures could significantly decrease the volume of cross border commerce, increase the costs of maritime senders, and thereby cause a material adverse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impact on our business, financial condition, and results of operations. Although the U.S. and China agreed to suspend the additional tariffs imposed in April 2025 starting from May 14, 2025, it remains possible that such tariffs resume or additional tariffs will be imposed in the future.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30, 2025, China’s Ministry of Commerce unveiled the outcomes achieved by Chinese and US delegations during their recent economic and trade talks in Kuala Lumpur from October 25, 2025 to October 26, 2025. Among other consensus, the US side will suspend the implementation of measures under its Section 301 investigation targeting China’s maritime, logistics and shipbuilding industries for one year. In response, China will correspondingly suspend the implementation of its countermeasures against the US side for one year once the US suspension takes effect, according to the spokesperson of China’s Ministry of Commerce. This suspension of implementation of measures under Section 301 investigation is pending the confirmation by the USTR.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Historically, tariffs have led to increased trade and political tensions, between the U.S. and China, as well as between the U.S. and other countries. Political tensions as a result of trade policies could reduce trade volume, cross-border investment, technological exchange, and other economic activities between major economies, resulting in a material adverse effect on global economic conditions and the stability of global financial and stock markets. Moreover, the heightened geopolitical uncertainty and potential for further escalation may discourage investments in securities issued by China-based issuers (including us) and affect the global macroeconomic environment. For example, it has been reported that the U.S. administration may consider imposing further restrictions or prohibitions on trading of Chinese securities. Any such geopolitical developments could materially and adversely affect our overall financial performance and prices of Intercont’s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such tensions may lead to consumer boycotts, increased security measures, and travel restrictions, all of which could negatively affect the need for international maritime shipping. Any restrictions on international trade and capital flows may have a negative impact on our ability to access capital and expand our operations. As a result, any of these events could have a material adverse effect on our business,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Separately, we may also be subject to review and enforcement under domestic and foreign laws that screen foreign investment and acquisitions. In both the U.S. and non-U.S. jurisdictions, these regulatory requirements may treat companies differently based on the type of company in question and investor profile in the company. As a result of these laws, investments by particular investors may need to be filed with local regulators, which in turn may impose added costs on our business, impact our operations, and/or limit our ability to engage in strategic transactions that might otherwise be beneficial to us and our investors. These laws are also regularly changed and updated. For example, recently the Office of Investment Security of the U.S. Department of the Treasury issued a final rule (the “Outbound Investment Rule”) to implement the Executive Order 14105, which provided for the establishment of a new national security regulatory framework to control outbound investment from the United States in certain sensitive industry sectors in the People’s Republic of China, including Hong Kong and Macau. The Outbound Investment Rule took effect in January 2025 and restricts U.S. persons’ direct and indirect investment into companies with specified connections to China that engage in specified “Covered Activities” within three areas of technology: semiconductors and microelectronics, quantum information technologies, and artificial intelligence systems. Notably, President Trump issued the America First Trade Policy Memorandum on February 20, 2025, which proposes to further expand the set of technologies of concern. These rules may limit our ability to engage in certain kinds of business operations; they may also limit our ability to raise capital from U.S. and other sources if we engage in the development of such technologies of concern. Continuing changes in both U.S. and non-U.S. jurisdictions to foreign investment laws and rules could adversely affect our strategic initiatives, financial performance, and growth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recent action by the U.S. to impose new port fees on Chinese-owned and operated vessels and Chinese-built vessels could have a material adverse effect on our operations and financial results.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USTR has recently put forward significant trade actions under Section 301 of the Trade Act of 1974 with the aim of addressing China’s dominance in the maritime, logistics, and shipbuilding industries. These actions have the potential to dramatically increase the port fees and therefore the overall operating expenses for ships calling at U.S. ports. Specifically, the USTR has enacted a series of fees that would function as direct increases to port-related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action generally would include a fee targeting Chinese owners and operators for each instance a vessel owned or operated by a Chinese entity enters a U.S. port. The fee would be calculated at a rate of $50 per net ton of the vessel for each port entrance beginning October 14, 2025 and increasing over time, plateauing at $140 per net ton in 2028.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Another fee focuses on operators with fleets comprised of Chinese-built vessels. Under the action, in the case of a vessel not subject to the fees on Chinese owners and operators described above, fees generally would be imposed each time a Chinese-built vessel enters a U.S. port. The fee generally would be calculated at a rate of $18 per net ton of the vessel for each port entrance beginning October 14, 2025 and increasing over time, plateauing at $33 per net ton in 2028.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several exceptions to this fee, including for both dry bulk and liquid vessels with capacity less than 80,000 dwt, vessels arriving to the US empty or in ballast, and vessels entering a port in the continental United States from a voyage of less than 2,000 nautical miles from a foreign port or point.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implementation of this action remains uncertain. A USTR hearing took place in May 2025 and the public comment period closed in July 2025. Additionally, specifics, such as applicability to sale leaseback arrangements with Chinese leasing financiers, have not been clarified. In a sale leaseback arrangement, the Chinese leasing financiers are the formal owners of the vessels. Furthermore, retaliatory measures from China or other nations could further compound disruptions and cost increases within the global shipping industry. On October 30, 2025, China’s Ministry of Commerce unveiled the outcomes achieved by Chinese and US delegations during their recent economic and trade talks in Kuala Lumpur from October 25, 2025 to October 26, 2025. Among other consensus, the US side will suspend the implementation of measures under its Section 301 investigation targeting China’s maritime, logistics and shipbuilding industries for one year. In response, China will correspondingly suspend the implementation of its countermeasures against the US side for one year once the US suspension takes effect, according to the spokesperson of China’s Ministry of Commerce. This suspension of implementation of measures under Section 301 investigation is pending the confirmation by the USTR.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all ships in our fleet were constructed in China, the port fees imposed by USTR will not apply to our global maritime shipping business at the moment as our global maritime shipping business does not involve calling at U.S. ports. But in addition to direct port fee increases, retaliatory actions by China or other countries could indirectly impact port-related costs. For example, China imposed retaliatory port fees to restrict vessels of U.S. origin calling at Chinese ports on October 14, 2025, which could disrupt global shipping patterns and potentially increase congestion and costs at ports worldwide.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have not launched the seaborne pulping business as of the date of this prospectus, the Group plans to launch its seaborne pulping business at an appropriate time once external economic and political conditions stabilize. The factory ships to be used in the seaborne pulping business may have capacity over 90,000 dwt, which is above the 80,000-dwt threshold for the exception from the port fees for Chinese-built dry bulk vessels, and therefore the vessel will not be exempt from the port fee on Chinese-built vessels under the current version of the USTR action. Given the potential magnitude of these port-related fees and the many uncertainties surrounding their implementation, it is not possible at this time to fully predict the ultimate financial impact. However, if the action or similar measures are implemented, port fees for our vessels or vessels we charter and our operating costs for voyages calling at U.S. ports could materially increase. This, in turn, could significantly reduce our profitability of seaborne pulping business, negatively impact our ability to compete effectively, and materially and adversely affect our operations and financial results of our seaborne pulping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business of our Shipping Subsidiaries could be negatively impacted by the cyclical nature of the shipping industry.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Historically, the financial performance of the global maritime shipping business has exhibited cyclical patterns, marked by fluctuations in profitability and asset values due to changes in the supply and demand for international maritime shipping services. The quantity of shipping capacity depends on various factors, including the number and size of vessels in the global fleet, their deployment, the introduction of new vessels, and the decommissioning of older ones, etc. The demand for international maritime shipping services is influenced by global and regional economic conditions, currency exchange rates, the globalization of manufacturing, variations in global and regional international trade levels, regulatory developments, and alterations in seaborne and other transportation patterns. Predicting changes in the demand for international maritime shipping services is challenging. Declines in demand and/or increases in international maritime shipping capacity could result in substantially lower freight rates, decreased volume, or a combination of both, thereby adversely affecting the business, financial status, and operational results of our Shipping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face certain risks related to our transaction arrangements with affiliates.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two (2) of the four (4) vessels operated by our Shipping Subsidiaries are leased from a related party controlled by a family member of our shareholder. Additionally, our Shipping Subsidiaries have also entered into business arrangements with related parties in the ordinary course of business. Historically, we did not have in place a formal process that meets public company standard to review and approve transactions with related parties, and such related party transactions may impair investors in Intercont’s Class A Ordinary Shares. But recently, the Company has adopted a related party transaction policy to review and approve all further related party transactions. Furthermore, if any of the related parties having a business relationship with the Group reneges from the arrangements, the Group will have difficulty in finding replacement in a timely and cost-efficient manner, if at all. As a result, our business operations and financial performance may be negatively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depend on certain customers for our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Customer A (Topsheen Shipping Singapore Pte. Ltd., a related party) and Customer B accounted for approximately 73% and 11%, respectively, of the Group’s total revenues. For the six months ended December 31, 2024, Customer A (Topsheen Shipping Singapore Pte. Ltd., a related party) and Customer B accounted for approximately 70% and 11% respectively, of the Group’s total revenues. For the year ended June 30, 2025, Customer A (Topsheen Shipping Singapore Pte. Ltd., a related party) accounted for approximately 74% of the Group’s total revenues. For the year ended June 30, 2024, Customer A (Topsheen Shipping Singapore Pte. Ltd., a related party) and Customer B accounted for approximately 48% and 19%, respectively, of the Group’s total revenue. For the year ended June 30, 2023, Customer A (Topsheen Shipping Singapore Pte. Ltd., a related party), Customer B and Customer C accounted for approximately 43%, 19% and 12%, respectively, of the Group’s total revenue. As of December 31, 2025, Customer B accounted for approximately 98% of the Group’s accounts receivable. As of June 30, 2025, Customer A (Topsheen Shipping Singapore Pte. Ltd., a related party), Customer B, Customer D (Meida Shipping Co., Limited, a related party) and Customer E (Tongda Shipping Co., Limited, a related party) accounted for approximately 47%, 22%, 12% and 11%, respectively, of the Group’s accounts receivable and accounts receivable-related parties. As of June 30, 2025, Customer A (Topsheen Shipping Singapore Pte. Ltd., a related party), Customer D, Customer G (Meida Shipping Co., Limited, a related party) and Customer E (Tongda Shipping Co., Limited, a related party) accounted for approximately 47%, 22%, 12%and 11%, respectively, of the Group’s accounts receivable and accounts receivable-related parties. As of June 30, 2024, Customer D accounted for approximately 100% of the Group’s accounts receivable. The loss of any of our significant customers, a customer’s failure to make payments or perform under any of the applicable contracts, or a decline in payments under the contracts could have a material adverse effect on our business, financial condition, cash flows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Shipping Subsidiaries charter vessels from a limited number of suppliers.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Shipping Subsidiaries currently charter two (2) vessels from a related party and charter one (1) vessel from an independent third party. If they terminate their business relationships with our Shipping Subsidiaries, our Shipping Subsidiaries will face the risk of not being able to secure adequate vessel replacement in a timely manner or the risk of being required to pay a higher charter rate for comparable vessel replacement, which could have a material adverse effect on our business, financial condition, cash flows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profitability and growth of our Shipping Subsidiaries are contingent on the demand for shipping vessels and global economic conditions, with consumer confidence and spending playing a crucial role in influencing shipping volume and charter rates. The volatility or potential increase in charter hire rates for shipping vessels could negatively impact our Shipping Subsidiaries’ profitability.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movements of the Baltic Dry Index (BDI), an indicator reflecting the daily average charter rates for key routes and published by the Baltic Exchange Limited, are highly unpredictable. Widely considered as a primary benchmark for monitoring the vessel charter market and overall shipping market performance, the BDI experienced a substantial 97.5% decline from its peak of 11,793 in May 2008 to 290 on February 10, 2016, and has since maintained a volatile trajectory. As of May 13, 2026 the BDI reached 3,063. The significant variance of BDI index could result in uncertainties in the Company’s operation.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Several factors influence the demand for shipping capacity,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Supply and demand dynamics for products suitable for maritime shipping.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global production of goods transported by ships.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Distance requirements for sea transport of cargo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Globalization of manufacturing.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Global and regional economic and political conditions, wars, armed conflicts, terrorist activities, embargoes, strikes, and tariffs.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International trade developments and disruptions.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Shifts in seaborne and other transportation patterns, encompassing alterations in transport distances and vessel speeds.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Environmental and regulatory changes.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Currency exchange rate fluctuations.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Demand for dry bulk vessels is dependent upon economic growth in the world’s economies, seasonal and regional changes in demand and changes to the capacity of the global dry bulk fleet and the sources and supply of dry bulk cargo transported by sea. Continued adverse economic, political or social conditions or other developments could negatively impact charter rates and have a material adverse effect on our business, results of operations and financial condition.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Factors influencing the supply of shipping capacity encompass: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New building deliveries.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Scrapping rates of older shipping vessels.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Disruption of shipping routes due to accidents or political events.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Pricing of steel and other raw materials.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environmental and regulatory frameworks limiting the useful life of vessels.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inactive shipping vessels.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Port and canal congestion.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decline in the worldwide economic conditions, particularly in the Asia Pacific region, has the potential to significantly impact our Shipping Subsidiaries’ business, financial well-being, and operational results.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global economic landscape is pivotal in determining the demand for various commodities across the globe, consequently influencing maritime transportation. Specifically, the Group foresees a substantial number of ports, where its cargo operations are situated, continuing to be actively involved in cargo handling within the Asia Pacific Region. The Asia Pacific Region is expected to function as one of the Group’s crucial locations for loading and unloading operations. Therefore, any negative shifts in economic conditions within the Asia Pacific Region could exert a noteworthy influence on the demand for global maritime shipping. Nonetheless, if the economic state of the Asia Pacific Region persists in being feeble or undergoes negative growth in the future, it could have an adverse effect on the demand for global maritime shipping.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escalation of global trade protectionism could have a significant adverse impact on our Shipping Subsidiaries’ business, potentially affecting their financial condition, operational results, and cash flows.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Shipping Subsidiaries’ operations are susceptible to the risk that increased global trade protectionism may negatively influence their business. Governments might resort to trade barriers to shield or rejuvenate their domestic industries against foreign imports, thereby diminishing the demand for global maritime shipping. Imposing restrictions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imports, including tariffs, could wield a substantial impact on global trade and the demand for shipping services. The presence of trade protectionism in the markets served by our Shipping Subsidiaries may lead to increased costs of exported goods, extended delivery times, elevated risks associated with exporting, ultimately resulting in a decrease in the volume of exported goods and a diminished demand for shipping.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Shipping Subsidiaries’ operations and business revenue often stem from transporting goods from Asia to various overseas export markets. Any downturn or impediment in the production capacity of exporters based in Asia could significantly adversely affect Asia’s export growth rate and, consequently, affecting our Shipping Subsidiaries’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Shipping Subsidiaries operate in a highly competitive global maritime shipping industry and if they do not compete successfully with new entrants or established companies with greater resources, their shipping business growth and results of operations may be adversely affected.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worldwide international maritime shipping business is highly competitive. Barriers to entry are relatively low for existing shipping companies wishing to enter, or expand their presence in, a new market or new trade lane. Carriers compete based on price, frequency of service, transit time, port coverage, service reliability, vessel availability, inland operations, quality of customer service, value-added services and other customer requirements. There is strong competition in the international markets and trade lanes in which our Shipping Subsidiaries currently operate, and we expect that current competitive pressures within the international maritime shipping industry will continue.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Increases in marine fuel prices could increase our operating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Marine fuel constitutes a substantial cost to our global maritime shipping and seaborne pulping businesses. The cost of marine fuel is subject to many economic and political factors which are beyond our control. The price and supply of fuel are unpredictable and fluctuate based on events outside our control, including geopolitical developments, supply of and demand for oil and gas, actions by the Organization of the Petroleum Exporting Countries, or OPEC, and other oil and gas producers, war and unrest in oil-producing countries and regions, regional production patterns and environmental concerns. In February 2022, crude oil prices increased to a new seven-year high, impacted by the Russia-Ukraine conflict and the sanctions and other measures imposed on Russia by the United Kingdom, European Union, the United States, and other countries. As a result of the ongoing war in Iran over the past two months, oil prices have surged. The instability in the Middle East may further affect international oil prices. Although we do not have any trading activities with sanctioned parties or ports, sanctions and trade restrictions have increased uncertainty in global energy markets and fuel may become much more expensive in the future, which could have a material adverse effect on our business, financial condition, cash flows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Global events, such as terrorist attacks and regional conflicts, have the potential to significantly impact our business, financial status, operational results, and cash flows.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Past terrorist attacks and the ongoing threat of future incidents worldwide continue to instigate uncertainty in the global financial markets, potentially affecting our business, operating outcomes, and financial condition. Additionally, recent acts of terror perpetrated by Houthi rebels in the Red Sea region further heighten concerns about the impact on maritime transportation along key routes, such as the Red Sea route, affecting the Group’s shipping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Ongoing conflicts and recent developments in regions such as Ukraine, Russia, North Korea, Myanmar, and the Middle East (including Iran, Iraq, Israel, Palestine, Syria, the Persian Gulf, Yemen), coupled with the presence of the United States or other armed forces in the Middle East, may lead to additional acts of terrorism and armed conflict globally. These events may contribute to heightened economic instability in the worldwide financial markets. Recent statements from government leaders about potential trade barriers to safeguard domestic industries against foreign imports add to the uncertainties.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War in a country where a significant supplier or customer of Intercont is situated could impact the supply chain or revenue generation from that customer. Historical instances indicate that political conflicts have resulted in attacks on vessels, waterway mining, and other efforts to disrupt global maritime shipping. Import restrictions, including tariffs, have historically and could continue to significantly impact global trade and the demand for shipping services. Although we have not conducted business with any sanctioned entity or port, we adopt several measures to avoid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transactions with any sanctioned entity or port, and we are in the process of make a Sanction, Export Control and Trade Control Policy. Any of these events, including the recent Houthi rebel terrorist attacks affecting the Red Sea route, could have a material adverse effect on our business, financial condition, cash flows, and operational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Acts of piracy on ocean-going vessels may have a material adverse effect on the Group’s business, financial condition, cash flows,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Acts of piracy have historically affected ocean-going vessels trading in regions of the world such as the South China Sea, the Indian Ocean, the Gulf of Aden off the coast of Somalia and, in more recent times, the Gulf of Guinea. Sea piracy incidents continue to occur, particularly in the Gulf of Aden off the coast of Somalia, in the Gulf of Guinea and the west coast of Africa, with carriers vulnerable to such attacks. Acts of piracy may result in death or injury to persons or damage to property. In addition, crew costs, including costs of employing on-board security guards, could increase in such circumstances. We may not be adequately insured to cover losses from these incidents, which could have a material adverse effect on our business, financial condition, cash flows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Increased inspection procedures and tighter import and export controls could increase costs and disrupt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Global maritime shipping business and our seaborne pulping business are both subject to various security and customs inspection and related procedures in countries of origin and destination and trans-shipment points. Inspection procedures may result in the seizure of contents of our vessels, delays in the loading, offloading, trans-shipment, or delivery and the levying of customs duties, fines or other penalties against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possible that changes to inspection procedures could impose additional financial and legal obligations on us. Changes to inspection procedures could also impose additional costs and obligations on Intercont and may, in certain cases, render the shipment of certain types of cargo uneconomical or impractical. Any such changes or developments could have a material adverse effect on our business, financial condition, cash flows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future results of operations will be subject to seasonal fluctuations, which may adversely affect our financial condition.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market in which we operate our dry bulk vessels may exhibit seasonal variations in demand, such as demands affected by holiday seasons. In addition, unpredictable and adverse weather conditions and patterns in different parts of the world have in the past had a negative impact on various exports. Such seasonality may affect our business, results of operations, financial condition, and could affect our ability to pay dividends, if any,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freights may call on ports located in countries that are subject to restrictions imposed by the United States, United Kingdom, United Nations, or other governments.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do not anticipate our freights calling on ports situated in countries subject to sanctions and embargoes imposed by the U.S. government and other authorities, or countries identified as state sponsors of terrorism, there may be instances, based on charterers’ instructions, where our vessels may call on ports in such countries in the future. The application of U.S. sanctions and embargo laws varies, as they do not uniformly apply to the same entities or prohibit identical activities. Furthermore, these laws and regulations may be amended or strengthened over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are committed to complying with all applicable sanctions and embargo laws and regulations, and intends to maintain such compliance, there is no guarantee of continued compliance in the future. This uncertainty arises especially as the interpretation and scope of certain laws may be unclear and subject to evolving interpretations. Any violation of these laws could have a severe adverse impact on our ability to access U.S. capital markets.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operate carriers globally, exposing our business to inherent operational risks that could potentially impact our revenue, increase expenses, and may not be fully covered by insurance.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Engaged in the global maritime shipping business and seaborne pulping business operating on international vessels, we face inherent risks associated with the global operations of ocean-going freights. Cargoes transported by us are susceptible to damage or loss due to various events, including marine disasters, adverse weather conditions, mechanical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failures, human error, environmental accidents, war, terrorism, piracy, and other unforeseen circumstances. Additionally, the transportation of cargoes across diverse international jurisdictions introduces the risk of business interruptions caused by political circumstances in foreign countries, hostilities, labor strikes, boycotts, potential changes in tax rates or policies, and the possibility of government expropriation of our carried cargoes. Any of these events could lead to a loss of revenue, increased costs, and decreased cash flows.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Changing economic, regulatory, and political conditions in some countries, including political and military conflicts, have historically resulted in attacks on vessels, waterway mining, piracy, terrorism, labor strikes, and boycotts. These hazards may result in personal injury or death, loss of revenue or property, payment of ransoms, environmental damage, higher insurance rates, market disruptions, and interference with shipping routes (such as delays or rerouting), all of which could have a material adverse effect on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we operate dry bulk vessels, our business has inherent operational risks which may reduce our revenue or increase our expenses.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international shipping industry is an inherently risky business involving global operations. Our vessels will be at risk of being damaged or lost because of events such as marine disasters, bad weather, mechanical failures, human error, environmental accidents, war, terrorism, piracy and other circumstances or events. In addition, transporting cargoes across a wide variety of international jurisdictions creates a risk of business interruptions due to political circumstances in foreign countries, hostilities, labor strikes and boycotts, the potential for changes in tax rates or policies, and the potential for government expropriation of our vessels. Any of these events may result in loss of revenues, increased costs and decreased cash flows to our customers, which could impair their ability to make payments to us under our charters.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the operation of certain vessels, such as dry bulk carriers, has certain unique risks. With a dry bulk carrier, the cargo itself and its interaction with the vessel can be an operational risk. By their nature, dry bulk cargoes are often heavy, dense, easily shifted, and react badly to water exposure. In addition, dry bulk carriers are often subjected to battering treatment during unloading operations with grabs, jackhammers (to pry encrusted cargoes out of the hold) and small bulldozers. This treatment may cause damage to the vessel. Vessels damaged due to treatment during unloading procedures may be more susceptible to breach at sea. Hull breaches in dry bulk carriers may lead to the flooding of the vessels’ holds.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dry bulk carrier suffers flooding in its forward holds, the bulk cargo may become so dense and waterlogged that its pressure may buckle the vessel’s bulkheads, leading to the loss of a vessel. If we are unable to adequately repair our vessels after such damages, we may be unable to prevent these events. Any of these circumstances or events may have a material adverse effect on our business, results of operations and financial condition, if any, in the future, on our Class A Ordinary Shares. In addition, the loss of any of our vessels could harm our reputation as a safe and reliable shipping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Maritime claimants could arrest or attach one or more of our vessels, which could interrupt our cash flows.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Crew members, suppliers of goods and services to a vessel, shippers of cargo, lenders, and other parties may be entitled to a maritime lien against a vessel for unsatisfied debts, claims or damages. In many jurisdictions, a maritime lien holder may enforce its lien by “arresting” or “attaching” a vessel through judicial or foreclosure proceedings.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Labor interruptions could disrupt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could be subject to industrial action or other labor unrest that could prevent or hinder our operations from being carried out normally. If not resolved in a timely and cost-effective manner, such business interruptions could have a material adverse effect on our business, financial condition, cash flows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comply with the U.S. Foreign Corrupt Practices Act (FCPA) and other anti-bribery legislation in various jurisdictions could lead to fines, criminal penalties, contract terminations, and adversely affect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global maritime shipping business and seaborne pulping business span numerous countries globally, including those with a known reputation for corruption. The Group is dedicated to conducting its business in adherence to applicable anti-corruption laws. However, we face the risk that individuals or entities employed or engaged by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or their agents, may take actions violating anti-corruption laws, including the U.S. Foreign Corrupt Practices Act. Such violations could result in substantial fines, sanctions, civil and/or criminal penalties, or limitations on operations in specific jurisdictions, potentially impacting our business, operational results, or financial condition. Moreover, actual or alleged violations could harm our reputation and our ability to engage in business activities. Additionally, the process of detecting, investigating, and resolving actual or alleged violations is costly and can demand significant time and attention from our senior management.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smuggling of drugs or other contraband onto our freight may lead to governmental claims against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freights may call at ports where smugglers attempt to hide drugs and other contraband on vessels, either with or without the knowledge of crew members. In the event that our freights are discovered with contraband, whether or not crew members are aware, the company may face reputational damage and governmental or regulatory claims, potentially having a material adverse effect on our business, financial condition, cash flows, and operational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need to maintain our relationships with local shipping agents, port and terminal operators.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our business relies on our relationships with local shipping agents, port, and terminal operators in the ports where our customers ship and unload their products. The Group believes that these relationships will continue to be crucial for its future success, and the loss of one or more of these relationships could materially and negatively impact its ability to retain and service our customers. We cannot guarantee that we will be able to maintain and expand our existing relationships with local shipping agents, port, and terminal operators or establish new relationships, and uncertainties exist regarding the availability of new or renewed relationships on commercially reasonable terms. In the event that we are unable to maintain, expand, or establish these relationships, we may risk losing customers or experiencing delays in the ports where we operate, potentially having a material adverse effect on our business, financial condition, cash flows, and operational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global financial credit crisis and geopolitical uncertainties have impacted the revenue of the Group, whose primary business revolves around global maritime shipping, particularly in the aspect of chartering vessels. These adverse factors may contribute to increased instability in the ship chartering market, resulting in fluctuations in charter rates and affecting our costs and income related to vessel leasing and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 environment of financial credit tightening, ship leasing may be influenced by funding shortages and financial pressures, making it challenging for us to secure favorable chartering terms. Additionally, geopolitical tensions may elevate risks on certain shipping routes, further impacting our flexibility and stability in chartering vessels and fulfilling transportation contracts.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address these challenges, we may need to implement prudent financial management strategies, enhance collaboration with shipowners and leasing companies, and facilitate the operational stability of our fleet amidst the volatile financial and geopolitical landscape. Moreover, effective risk assessment and flexible operational strategies will play a critical role in sustaining our business continuity and profitability in the realm of vessel chartering.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ship leasing market is encountering increasing regulatory and environmental pressures, which may potentially lead to a rise in operational costs for us in the future.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escalating regulatory landscape, particularly in terms of safety, emissions, and other compliance measures, poses challenges for companies involved in ship leasing such as us, and specifically, our Shipping Subsidiaries. Adhering to and implementing these stringent regulations often necessitates investments in technology upgrades, staff training, and enhanced safety protocols, all of which can contribute to an upward trend in operational expenses.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the growing emphasis on environmental sustainability is driving the maritime industry towards cleaner and more eco-friendly practices. Adoption of advanced technologies, alternative fuels, and eco-conscious operational measures may come with additional costs. As we align with these evolving industry standards, there is a potential for increased operational expenditures associated with environmental compliance.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mitigate the impact of these pressures, we may need to proactively manage our operations, invest in sustainable technologies, and continuously monitor and adapt to changing regulatory requirements. Strategic planning and a commitment to environmentally responsible practices will be essential for us to navigate potential increases in operational costs in the ship leasing market.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operations may be adversely impacted by severe weather, including as a result of climate change.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Tropical storms, hurricanes, typhoons and other severe maritime weather events could result in (i) the suspension of operations at the planned ports of call for our vessels and require significant deviations from our vessels’ routes, and (ii) the suspension of our production in our seaborne pulping facilities. In addition, climate change could result in an increase in the frequency and severity of these extreme weather events. The closure of ports, rerouting of vessels, damage of production facilities, as well as other delays caused by increasing frequency of severe weather, could stop operations or shipments for indeterminate periods and have a material adverse effect on our business, results of operations and financial condition.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Adverse consequences of climate change, including growing public concern about the environmental impact of climate change, may also adversely affect demand for our services. For example, increased regulation of greenhouse gases or other concerns relating to climate change may reduce the demand for coal in the future, one of the primary cargoes carried by dry bulk vessels and other vessels we may acquire. In addition, the physical effects of climate change, including changes in weather patterns, extreme weather events, rising sea levels and scarcity of water resources may negatively impact our operations. Any long-term economic consequences of climate change could have a significant financial and operational adverse impact on our business that we cannot predict with certainty at this time.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With the implementation of environmental regulations, the imperative for energy-efficient design in newly built vessels to reduce their carbon intensity has become apparent. Consequently, there is a likely increase in demand for green vessels, but simultaneously, this implies a rise in associated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implementation of environmental regulations, including the industry guidelines introduced in 2019 under the “Poseidon Principle” and the MEPC80 meeting held in July 2023 (where countries agreed on a timetable for achieving net-zero carbon emissions in the shipping industry), ship operators may face higher investments and operational costs. This includes costs related to the design and construction of new vessels, investments in fuel and energy efficiency improvements, and updates to equipment and technology to comply with environmental regulations, leading to further increase in chartering costs. These additional costs could have a negative impact on the profitability and competitiveness of shipping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further strengthening of environmental regulations and the introduction of new net-zero carbon targets may further elevate the demand for green vessels, posing challenges to the cost structure of the shipping industry. Therefore, we may face increase in costs resulting from the adaptation to new environmental regulations and market demands while maintaining sustainable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Increased scrutiny of environmental, social and governance matters may impact our business and reputation.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importance of their financial performance, companies are increasingly being judged by their performance on a variety of ESG matters which are considered to contribute to the long-term sustainability of companies’ performance.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light of investors’ increased focus on ESG matters, there can be no certainty that we will manage such issues successfully, or that we will successfully meet society’s expectations as to our proper role. Any failure or perceived failure by us in this regard could have a material adverse effect on our reputation and on our business, share price, financial condition, or results of operations, including the sustainability of our business over time.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the shipping industry undergoes digital transformation, the post-implementation maintenance costs of such systems may be higher than those in traditional shipping.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digitalization of the shipping industry involves the integration of advanced technologies and digital systems, such as maritime software, data analytics, and communication systems. While these technologies offer various benefits, including improved efficiency, real-time monitoring, and enhanced decision-making capabilities, they also introduce complexities and dependencies that may lead to increased maintenance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continuous evolution of digital technologies requires ongoing updates, cybersecurity measures, and support services to facilitate the smooth functioning and security of digital systems. Additionally, the need for specialized personnel with expertise in digital technologies may contribute to higher labor costs for system maintenance. As a result, we may also face increased costs relating to the digital transformation.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paper product industry is cyclical in nature. Fluctuations in the prices of, and the demand for, our seaborne pulping products could result in lower sales volumes and smaller profit margins.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Openwindow plans to launch its seaborne pulping business in an orderly manner at an appropriate time once external economic and political conditions stabilize.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paper industry is cyclical in nature. Economic and market shifts, fluctuations in capacity and changes in foreign currency exchange rates may create cyclical changes in prices, sales volume and margins for our paper products. The overall levels of demand for the paper products that we will manufacture, and consequently our sales and profitability, will reflect fluctuations in levels of end-user demand, which depend in part on general macroeconomic conditions. Industry supply of paper products is also subject to fluctuation, as changing industry conditions have and will continue to influence producers to idle or permanently close individual machines or entire mills or retool them for different products to offset a decline in demand. As a result, prices for our paper products will be driven by many factors outside of our control, and we have little influence over the timing and extent of price changes, which are often volatile. If the prices or demand for our paper products decline, or if raw material, transportation or energy costs increase, or both, our business, financial condition and results of operations could be materially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General business and economic conditions could have a material adverse effect on the demand for our seaborne pulping products and our business,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business and economic conditions could have a material adverse effect on our seaborne pulping business, financial condition and results of operations. Factors such as the COVID-19 pandemic, civil unrest, high unemployment levels, availability and cost of credit, geopolitical issues and trade disputes have contributed in the past, and may contribute in the future, to volatility in worldwide financial markets and disruptions to, and diminished expectations for, the economy and markets. These conditions could adversely affect industrial non-durable goods production, consumer spending, commercial printing and advertising activities, goods and parcel packaging, white-collar employment levels and consumer confidence, all of which impact demand for our products. In addition, volatility in the capital and credit markets, which impacts interest rates, currency exchange rates and the availability of credit,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Competition from other businesses and combination within the paper product industry could have a material adverse effect on our future competitive position in our seaborne pulping business,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paper product industry is a competitive environment internationally. Product innovations, manufacturing and operating efficiencies, and marketing, distribution and pricing strategies pursued or achieved by competitors could have a material adverse effect on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seaborne pulping business is still in early stages, and may not operate profitably, if at all.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Openwindow plans to launch its seaborne pulping business in an orderly manner at an appropriate time once external economic and political conditions stabilize. Currently, Openwindow is in the process of working with a ship owner to set up the factory ship for the seaborne pulping business and testing the equipment. With no historical track record, Openwindow may not be able to successfully operate its seaborne pulping business, if at all. If Openwindow’s seaborne pulping business fails to turn a profit, our business, operations, and financial conditions will be negatively impacted.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still in the research and development stage of the waste gas recycle system related technology, and we have not tested out such technology. There are risks that the technology may not work in practice or if they work, they may not be as efficient as we expect.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seaborne pulping business model is still in experimental stages and the current plan may not fully materialize when applied into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seaborne pulping business combines innovative business model and technology. Many details of the technologies are still in experimental stages and may be improved or modified as the researches and business operation proceed. As a result, the current plan may see further modifications when actually applied into business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significantly rely on third-party intellectual property to carry out our seaborne pulping business, if we fail to continue the license, our seaborne pulping business will suffer material loss or fail to proceed.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engaged Jiangsu Xinsihui Marine Technology Limited Co. (“Xinsihui”) for seaborne pulping technology development. We were licensed to use all the patents registered or applied under Xinsihui for free until the completion of our IPO. On November 13, 2025, we entered into a patent assignment agreement for pulping factory ship project (“Patent Assignment Agreement”) with Xinsihui, pursuant to which Xinsihui agreed to assign, and we agreed to accept the assignment of, all legally owned patents and patent applications, including all associated patent rights and derivative rights (the “Assigned Patents”). Upon completion of the agreed payments and patent formalities, we will become the sole owner of these Assigned Patents, eliminating any future risk of license non-renewal or unfavorable terms. Our seaborne pulping business will therefore no longer depend on a revocable license from Xinsihui. We may also engage other companies for further assistance to develop our seaborne pulping technologies.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seaborne pulping business may not comply with all the import/export laws and regulations.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Openwindow’s seaborne pulping business transforms the goods on board during the voyage. However, the laws and regulations usually require the goods on board remain the same to conform with the description on the customs sheets. Therefore, as a new business model, the seaborne pulping business has not proven to comply with the import/export laws and regulations of the countries where Openwindow’s business will cover. If we fail to operate the business in a manner complying with such laws and regulations, we may be subject to fines, sanctions, or may not to operate the seaborne pulping business at all.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success depends on the continuing and collaborative efforts of our management team, and our business may be severely disrupted if we lose their services.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we derive all of our revenues from our global maritime shipping business. Our success heavily depends upon the continued services of our management. If one or more of our senior management were unable or unwilling to continue in their present positions, we might not be able to replace them easily or at all, and our business, financial condition and results of operations may be materially and adversely affected. If any of our senior management joins a competitor or forms a competing business, we may lose consumers, suppliers, know-how and key professionals and staff members. Our senior management has entered into employment agreements and confidentiality and non-competition agreements with us. However, if any dispute arises between our management team and the Group, we may have to incur substantial costs and expenses in order to enforce such agreements in Hong Kong or we may be unable to enforce them at all. In addition, we do not have key-man insurance for any of our executive officers or other key personnel. Events or activities attributed to our executive officers or other key personnel, and related publicity, whether or not justified, may affect their ability or willingness to continue to serve our company or dedicate their full time and efforts to our company and negatively affect our brand and reputation, resulting in an adverse effect on our business, operating results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recruit, train and retain qualified personnel or sufficient workforce while controlling our labor costs, our business may be materially and adversely affected.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support our business operations and planned expansion, we intend to hire additional qualified employees. Our future success depends, to a significant extent, on our ability to recruit, train and retain qualified personnel, particularly technical, marketing and other operational personnel with experience in the global maritime shipping and pulp making industries. Our operation and technical teams play a crucial role in putting our company strategy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plans into action as well as supporting our operations and expansion. The effective operation of our managerial and operating systems, coordination with suppliers and customers, and other back office functions also depends on the hard work and quality performance of our management and employees. Since we face high demand and intense competition for talent and labor, we can provide no assurance that we will be able to attract or retain qualified staff or other highly skilled employees that we will need to achieve our strategic objectives. With increased labor costs, we might not be able to offer steady and committed operational staffs and other labor support enough incentives if our remuneration plan is not competitive in the market. Any failure to address these risks and uncertainties could materially and adversely affect our results of operations and financial performance. In addition, our ability to train and integrate new employees into our operations may also be limited and may not meet the demand for our business growth on a timely fashion, or at all, and rapid expansion may impair our ability to maintain our corporate culture.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obtain certain filings, approvals, licenses, permits and certificates required for our business operations may materially and adversely affect our business,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global maritime shipping and pulp making businesses span across countries. Although we spend efforts to obtain and maintain various approvals, licenses, permits and filings to operate our business, we cannot guarantee that we will be in compliance with all the applicable regulatory requirements due to the complexity of transnational rules and regulations. Additionally, such licenses are usually valid for specified periods and subject to renewals on expiry. As a result, any failure to renew such licenses may materially and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limited insurance coverage, which could expose us to significant costs and business disruption.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and its subsidiaries have obtained insurance policies they deem necessary and in line with the ordinary practices of the industry. However, the Group and its subsidiaries do not maintain key-man insurance.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from time to time, be subject to legal proceedings or administrative penalties during the course of our business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subject to legal proceedings or administrative penalties from time to time in the ordinary course of our business, which could have a material adverse effect on our business, results of operations and financial condition. Claims arising out of actual or alleged violations of law could be asserted against us by clients, suppliers, competitors, or governmental entities in civil or criminal investigations and proceedings, or other entities. These claims could be asserted under a variety of laws, including but not limited to those related to product liability, consumer protection, intellectual property, unfair competition, privacy, labor and employment, securities, real estate, tort, contract, property and employee benefit. There is no guarantee that we will prevail in defending ourselves in legal and administrative procedures or in enforcing our rights under various laws, and we may still be involved in several legal or administrative proceedings. Enforcing our rights against the different parties involved may be costly, time-consuming, and ultimately fruitless even if we are successful in our attempt to protect ourselves in legal and administrative processes or to claim our rights under various laws. These actions could expose us to negative publicity and to substantial monetary damages and legal defense costs, injunctive relief and criminal and civil fines and penalties, including but not limited to suspension or revocation of licenses to conduct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currently in the process of applying for several patents connected to our seaborne pulping businesses. We may not be able to adequately protect our intellectual property and other proprietary rights that are material to our business, or to defend successfully against intellectual property infringement claims by third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currently in the process of applying for several patents connected to our seaborne pulping businesses. Although we endeavor to protect our rights, third parties may infringe or misappropriate our intellectual property. We may have to litigate to enforce and protect our patents and other intellectual property rights or to determine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their scope, validity or enforceability. This would represent a diversion of resources that may be significant and our efforts may not prove successful. The inability to secure or protect our intellectual property assets could harm our reputation and have a material adverse effect on our business and our ability to compete with other companies in our industry.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may be subject to claims by third parties for (i) patent, trademark or copyright infringement, (ii) breach of patent, trademark or copyright license usage rights or (iii) misappropriation of trade secrets. Any such claims or resulting litigation could result in significant expense and liability for damages. If we were found to have infringed or misappropriated a third-party patent or other intellectual property right, we could in some circumstances be prohibited from providing certain products or services to our customers or from utilizing and benefiting from certain patents, copyrights, trademarks, trade secrets or licenses. Alternatively, we may be required to enter into costly licensing arrangements with third parties. Any of these scenarios could harm our reputation and have a material adverse effect on our business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need additional capital, and financing may not be available on terms acceptable to us, or at all.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require additional capital to pursue our business objectives and respond to business opportunities, challenges or unforeseen circumstances, including to expand our fleet, install factory ship modifications for our seaborne pulping businesses, source additional clients and suppliers, improve our technology, and acquire complementary businesses and technologies. We might try to get a credit facility or sell more equity or debt securities if our current resources aren’t enough to cover our financial needs. Existing shareholder dilution could occur as a result of the selling of additional equity securities. Increased debt payment costs and possible operating and financial covenants would follow the incurrence of debt, which would limit our ability to operate. It is uncertain whether financing will be available in amounts or on terms acceptable to us, if at all.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obtain adequate financing or financing on satisfactory terms, our ability to continue to pursue our business objectives and to respond to business opportunities, challenges or unforeseen circumstances could be significantly limited, and our business, results of operations, financial condition and prospects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relative lack of public company experience of our management team may put us at a competitive disadvantage.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board of directors and management team lack public company experience, which could impair our ability to comply with legal and regulatory requirements such as those imposed by the Sarbanes-Oxley Act. Our board of directors and senior management do not have much experience managing a publicly traded company. Such responsibilities include complying with federal securities laws and making required disclosures on a timely basis. Our board of directors and senior management may be unable to implement programs and policies in an effective and timely manner or that adequately respond to the increased legal, regulatory and reporting requirements associated with being a publicly traded company. Our failure to comply with all applicable requirements could lead to the imposition of fines and penalties, distract our management from attending to the management and growth of our business, result in a loss of investor confidence in our financial reports and have an adverse effect on our business and share price.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fail to implement and maintain an effective system of internal controls, we may be unable to accurately report our results of operations, meet our reporting obligations or prevent fraud, and investor confidence and the market price of Intercont’s Class A Ordinary Shares may be materially and adversely affected.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the reporting requirements of the Exchange Act of 1934 (the “Exchange Act”), the Sarbanes-Oxley Act of and the rules and regulations of Nasdaq Stock Market after we are successfully listed on Nasdaq Capital Market. Our independent registered public accounting firm has not conducted an audit of our internal control over financial reporting, as we are not required to provide a report of management’s assessment on our internal control over financial reporting due to a transition period established by the rules of the SEC for newly public companies. However, in the course of auditing our combined and consolidated financial statements included elsewhere in this prospectus, we and our independent registered public accounting firm identified one material weakness in our internal control over financial reporting. As defined in standards established by the PCAOB, a “material weakness” is a deficiency, or a combination of deficiencies, in internal control over financial reporting, such that there is a reasonable possibility that a material misstatement of our annual or interim combined and consolidated financial statements will not be prevented or detected on a timely basis. The material weaknesses identified relate to our lack of sufficient competent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reporting and accounting personnel with appropriate understanding of U.S. GAAP and financial reporting requirements set forth by the SEC to design and implement key controls over financial reporting process to address complex U.S. GAAP accounting issues and related disclosures, in accordance with U.S. GAAP and SEC financial reporting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response to the material weakness identified, we are in the process of implementing a number of measures to address the material weakness identified, including but not limited to (i) hiring additional qualified accounting and financial personnel with appropriate knowledge and experience in U.S. GAAP accounting and SEC reporting; and (ii) organizing regular training for our accounting staffs, especially training related to U.S. GAAP and SEC reporting requirements. We also plan to adopt additional measures to improve our internal control over financial reporting, including, among others, creating U.S. GAAP accounting policies and procedures manual, which will be maintained, reviewed and updated, on a regular basis, to the latest U.S. GAAP accounting standards, and establishing an audit committee and strengthening corporate governance.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we cannot assure you that we will not identify additional material weaknesses or significant deficiencies in the future. In addition, if we are unable to meet the requirements of Section 404 of the Sarbanes-Oxley Act, our Class A Ordinary Shares may not be able to remain listed on Nasdaq Capital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404 of the Sarbanes-Oxley Act of 2002 requires that we include a report of management on our internal control over financial reporting in our annual report on Form 20-F beginning with our annual report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course of documenting and testing our internal control procedures, in order to satisfy the requirements of Section 404 of the Sarbanes-Oxley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combined and consolidated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Intercont’s Class A Ordinary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combined and consolidated financial statements from prior periods.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Corporate Structure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Cayman Islands economic substance requirements may have an effect on our business and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Pursuant to the International Tax Cooperation (Economic Substance) Act (as revised) of the Cayman Islands, or the ES Act, that came into force on January 1, 2019, a “relevant entity” that carries on a “relevant activity” is required to satisfy the economic substance test set out in the ES Act. A “relevant entity” includes an exempted company incorporated in the Cayman Islands as is Intercont. A “relevant activity” includes a holding company business. Based on the current interpretation of the ES Act, we believe that (i) Intercont is a pure equity holding company since it only holds equity participation in other entities and only earns dividends and capital gains, and (ii) Intercont carries on a holding company business, meaning the business of a pure equity holding entity. Accordingly, for so long as Intercont is a “pure equity holding company” that carries on a “holding company business”, it is only subject to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reduced substance requirements, which require us to (i) comply with all applicable filing requirements under the Companies Act; and (ii) has adequate human resources and adequate premises in the Cayman Islands for holding and managing equity participations in other entities. However, there can be no assurance that we will not be subject to more requirements under the ES Act. Uncertainties over the interpretation and implementation of the ES Act may have an adverse impact on our business and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Intercont is incorporated under the Cayman Islands law, you may face difficulties in protecting your interests, and your ability to protect your rights through U.S. courts may be limited.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an exempted company incorporated under the laws of the Cayman Islands. Intercont’s corporate affairs are governed by its memorandum and articles of association (as amended from time to time), the Companies Act and the common law of the Cayman Islands. The rights of shareholders to take action against Intercont’s directors, actions by its minority shareholders and the fiduciary duties of its directors to Intercont under the Cayman Islands laws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Intercont’s shareholders and the fiduciary duties of its directors under the Cayman Islands laws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the Cayman Islands companies may not have standing to initiate a shareholder derivative action in a federal court of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of Cayman Islands companies like Intercont have no general rights under the Cayman Islands laws to inspect corporate records, other than the memorandum and articles of association (as amended from time to time) and any special resolutions passed by such companies, and the registers of mortgages and charges of such companies. Intercont’s directors have discretion under its memorandum and articles of association to determine whether or not, and under what conditions, its corporate records may be inspected by its shareholders, but are not obliged to make them available to its shareholders except as confirmed by law or authorized by the directors or by Intercont by ordinary resolution. This may make it more difficult for you to obtain the information needed to establish any facts necessary for a shareholder motion or to solicit proxies from other shareholders in connection with a proxy contest. Certain corporate governance practices in the Cayman Islands, where Intercont is incorporated, differ significantly from requirements for companies incorporated in other jurisdictions such as the United States. Currently, Intercont relies on certain home country practices with respect to its corporate governance and its shareholders are afforded less protection that they would otherwise enjoy under Nasdaq corporate governance listing standards applicable to the U.S. domestic issuers.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all of the above, public shareholders may have more difficulty in protecting their interests in the face of actions taken by our management, members of our board of directors, or our major shareholders than they would as public shareholders of a company incorporated in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may continue to rely on certain exemptions afforded to a Foreign Private Issuer even after it loses its status as an Emerging Growth Company.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Intercont will rely on dividends and other distributions on equity paid by its subsidiaries to fund its cash and financing requirements, and any limitation on the ability of its subsidiaries to make payments to it could have a material adverse effect on its ability to conduct its business. Moreover, to the extent that cash is in Intercont’s subsidiaries in Hong Kong, there is a possibility that the funds may not be available to fund our operations or for other uses outside of Hong Kong due to interventions or the imposition of restrictions and limitations by the Hong Kong laws or the PRC government on the ability to transfer cash out of Hong Kong or a Hong Kong entity.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Intercont is a holding company, and it will rely on dividends and other distributions on equity paid by its subsidiaries for its cash and financing requirements. Within Intercont’s direct holding structure, the cross-border transfer of funds within the Group is legal and compliant with the laws and regulations of Singapore, Hong Kong, and the Cayman Islands. Intercont’s subsidiaries are permitted under the respective laws of Hong Kong and Singapore to provide funding to their respective shareholders through dividends without restrictions on the amount of the funds,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than as limited by the amount of their distributable earnings and subject to the requirement of maintaining sufficient fund for these subsidiaries to remain solvent as a going concern and meet its contractual obligations owed to third parties prohibiting or restricting dividend distributions. However, to the extent cash is in Intercont’s subsidiaries in Hong Kong, there is a possibility that the funds may not be available to fund Intercont’s operations or for other uses outside of Hong Kong due to interventions or the imposition of restrictions and limitations by the Hong Kong laws or PRC government on the ability to transfer cash outside Hong Kong or Hong Kong entity. While there are currently no restrictions on foreign exchange and our ability to transfer cash or assets between Intercont and its subsidiaries in Hong Kong, if certain laws and regulations, including existing laws and regulations and those enacted or promulgated in the future were to become applicable to us, and to the extent our cash or assets are in Hong Kong or a Hong Kong entity (such as our subsidiaries in Hong Kong), such funds or assets may not be available to fund operations or for other uses outside of Hong Kong due to interventions in or the imposition of restrictions and limitations on our ability to transfer funds or assets by the PRC government. Furthermore, we cannot assure you that the PRC government will not intervene or impose restrictions on Intercont or its subsidiaries in Hong Kong to transfer or distribute cash within the organization, which could result in an inability of or prohibition on making transfers or distributions to entities outside of Hong Kong. If any of our subsidiaries incurs debt on its own behalf in the future, the instruments governing such debt may restrict their ability to pay dividends to Intercont.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judgments obtained against us by Intercont’s shareholders may not be enforceable.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 Cayman Islands exempted company and substantially all of the Group’s assets are located outside of the United States. In addition, all of Intercont’s current directors and officers are nationals and residents of countries other than the United States and substantially all of the assets of these persons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 Even if you are successful in bringing an action of this kind, the laws of the Cayman Islands may render you unable to enforce a judgment against our assets or the assets of our directors and officers. For more information regarding the relevant laws of the Cayman Islands, see “Enforceability of Civil Liabilities.” As a result of all of the above, our shareholders may have more difficulties in protecting their interests through actions against us or our officers, directors or major shareholders than would shareholders of a corporation incorporated in a jurisdiction in the United States.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Doing Business in Hong Kong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Intercont is an offshore holding company incorporated in the Cayman Islands. As a holding company with no material operations, Intercont’s operations are conducted by its subsidiaries in Asia, currently mostly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 Cayman Islands holding company with no material operations of its own. As of the date of this prospectus, substantially all of Intercont’s business operations are conducted by the Shipping Subsidiaries, which are headquartered in Hong Kong. The ability of the Shipping Subsidiaries to make dividend and other payments to Intercont may be restricted by factors that include changes in applicable foreign exchange and other laws and regulations. While there are currently no restrictions on foreign exchange and our ability to transfer cash or assets between Intercont and its subsidiaries, if certain laws and regulations, including existing laws and regulations and those enacted or promulgated in the future were to become applicable to us, and to the extent our cash or assets are in Hong Kong or a Hong Kong entity (such as our Shipping Subsidiaries), such funds or assets may not be available to fund operations or for other use outside of Hong Kong due to the imposition of restrictions, limitations, and procedures on our transfer of funds or assets by the PRC government. Furthermore, we cannot assure you that the PRC government will not intervene or impose restrictions on our Shipping Subsidiaries, Fortune Ocean, or Intercont to transfer or distribute cash within the organization, which could result in an inability of or prohibition on making transfers or distributions to entities outside of Hong Kong. Any limitation on the ability of our Shipping Subsidiaries to pay dividends or make other distributions to its holding company could materially and adversely limit our ability to grow, make investments or acquisitions that could be beneficial to our business, pay dividends, or otherwise fund and conduct our business. In addition, if any of our Shipping Subsidiaries incurs debt on its own behalf in the future, the instruments governing such debt may restrict its ability to pay dividends.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Hong Kong legal system embodies uncertainties which could negatively affect our listing on Nasdaq and limit the legal protections available to you and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Hong Kong legal system embodies uncertainties which could negatively affect Intercont’s listing on Nasdaq and limit the legal protections available to you and us. Since the handover of the sovereignty of Hong Kong to China in 1997, Hong Kong’s Basic Law ensured Hong Kong will retain its own currency (the Hong Kong Dollar), legal system, parliamentary system and people’s rights and freedom for 50 years from 1997, giving Hong Kong the freedom to function in a high degree of autonomy. The Special Administrative Region of Hong Kong is responsible for its own domestic affairs including, but not limited to, the judiciary and courts of last resort, immigration and customs, public finance, currencies and extradition. Hong Kong continues using the English common law system. Any change in the degree of autonomy of Hong Kong could potentially impact Hong Kong’s common law legal system, and may in turn bring about uncertainty in, for example, our listing on Nasdaq Stock Exchange. This also could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operate principally in Hong Kong, and adverse economic or other events affecting the region or any significant worsening to the present global financial condition could significantly impact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substantially all of the Group’s operations are conducted by our Shipping Subsidiaries headquartered in Hong Kong. Changes in demand, economic and political developments and regulatory changes in the region will have a significant effect on our business, results of operations and financial condition. In addition, adverse weather conditions, earthquakes, fires, power loss, telecommunications failures, breakage of land or submarine transmission cables, military or terrorist activity or similar events within Hong Kong may cause significant disruption to our business operations. The outbreak of any severe contagious disease or pandemic within Hong Kong could also have a material adverse effect on our business, results of operations and financial performance. Any significant and protracted worsening to the present global financial and economic climate could result in a change to the spending or usage behavior of our customers which could have an adverse impact on our business, results of operations and financial performance.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Hong Kong’s position and reputation is dependent on the high degree of autonomy.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 is a special administrative region of the PRC with its own government. Hong Kong enjoys a high degree of autonomy from the PRC under the principle of “one country, two systems.” However, there can be no assurance that our financial condition and results of operations will not be adversely affected as a consequence of the exercise of PRC sovereignty over Hong Kong. On July 14, 2020, the President of U.S. signed an executive order to end the special status enjoyed by Hong Kong under the U.S.-Hong Kong Policy Act of 1992. Hong Kong’s position and reputation as an international financial and trade center may be further damaged, and our business may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affected by the currency peg system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1983, Hong Kong dollars have been pegged to the U.S. dollars at approximately HK$7.80 to US$1.00. We cannot assure you that this policy will not be changed in the future. If the pegging system collapses and Hong Kong dollars suffer devaluation, the Hong Kong dollar cost of our expenditures denominated in foreign currency may increase. This may in turn adversely affect the operations and profitability of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 decline in the economies of Hong Kong, mainland China, or globally, or alterations in mainland China and Hong Kong’s economic and political policies, may significantly and negatively impact our business and financial condition.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performance, future opportunities, financial health, and operational outcomes of us could be significantly impacted by the political, economic, and social landscapes in Hong Kong and mainland China. The Chinese economy stands apart from most developed nations across several aspects, such as the amount of government involvement, level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development, growth rate, control of foreign exchange and allocation of resources. Despite substantial growth in recent decades, the Chinese economy’s progression has been uneven, both regionally and across various sectors. The Chinese government has implemented various measures aimed at encouraging economic growth and guiding resource distribution. While these measures might benefit the broader Chinese economy, some could potentially have adverse effects on our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economy in Hong Kong and mainland China is responsive to global economic trends. A prolonged downturn in the worldwide or Chinese economy could impact the businesses of both our existing and potential customers, thereby exerting a negative influence on the business, operational results, and financial standing of our subsidiaries. Furthermore, sustained volatility in international markets may hinder our capacity to access the capital markets to fulfill liquidity requirements.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Potential political and economic instability in Hong Kong may adversely impact our results of operations. We may also face the risk that changes in the policies of the PRC government could have a significant impact upon the business we conduct in Hong Kong and the profitability of such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operational activities are primarily conducted in Hong Kong. Accordingly, political and economic conditions in Hong Kong and the surrounding region may directly affect our business. In 2019, a number of political protests and conflicts have occurred in Hong Kong in connection with proposed legislation that would allow local authorities to detain and extradite people who are wanted in territories that Hong Kong does not have extradition agreements with, including the mainland of China and Taiwan. The economy of Hong Kong has been negatively impacted, including retail market, property market, securities market, and tourism, from such protests.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revenue is susceptible to incidents or factors which affect the stability of the social, economic and political conditions in Hong Kong. It is unclear whether there will be other political or social unrest in the near future or that there will not be other events that could lead to the disruption of the economic, political and social conditions in Hong Kong. If such events persist for a prolonged period of time or that the economic, political and social conditions in Hong Kong are to be disrupted, our overall business and results of operations may be adversely affected.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economic, political and legal developments and social conditions in the PRC may significantly affect our business, financial condition, results of operations and prospects. Policies of the PRC government can have significant effects on economic conditions in the mainland of China and Hong Kong. While we believe that the PRC will continue to strengthen its economic and trading relationships with foreign countries and that business development in the PRC will continue to follow market forces, we cannot assure you that this will be the case. Our business operations and prospects, financial condition, and results of operations may be adversely affected by changes in policies by the PRC government,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laws, regulations or their interpretation;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confiscatory taxation;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on currency conversion, imports or sources of suppliers, or ability to continue as a for-profit enterprise;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expropriation or nationalization of private enterprises;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allocation of resources.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enactment of the law of the PRC on Safeguarding National Security in the Hong Kong Special Administrative Region (the “Hong Kong National Security Law”) could impact our subsidiaries in Hong Kong, which may affect a substantial part of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June 30, 2020, the Standing Committee of the PRC National People’s Congress adopted the Hong Kong National Security Law. This law defines the duties and government bodies of the Hong Kong National Security Law for safeguarding national security and four categories of offenses — secession, subversion, terrorist activities, and collusion with a foreign country or external elements to endanger national security — and their corresponding penalties. On July 14, 2020, the U.S. President signed the Hong Kong Autonomy Act, or HKAA, into law, authorizing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 administration to impose blocking sanctions against individuals and entities determined to have materially contributed to the erosion of Hong Kong’s autonomy.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foreign financial institutions and any third parties or customers dealing with any foreign financial institution that is targeted. It is difficult to predict the full impact of the Hong Kong National Security Law and HKAA on Hong Kong and companies located in Hong Kong. If our Hong Kong subsidiaries are determined to be in violation of the Hong Kong National Security Law or the HKAA by competent authorities, our business operations, financial position and results of operations could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Chinese government may exercise significant oversight and discretion over the conduct of our subsidiaries’ business and may intervene in or influence their operations at any time, which could result in a material change in their operations and/or the value of Intercont’s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 holding company, and we conduct a substantial portion of our operations through our subsidiaries in Hong Kong. As Hong Kong is a special administrative region of the PRC, the PRC government may choose to exercise significant oversight and discretion to companies based in Hong Kong. If we or our subsidiaries in Hong Kong were to become subject to PRC laws, regulations, and other government directives in China, such laws, regulations, and other government directives in China may be costly to comply with, and such compliance or any associated inquiries or investigations or any other government actions may: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 or impede our subsidiaries’ development;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Result in negative publicity or increase our subsidiaries’ operating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 significant management time and attention;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 us to remedies, administrative penalties, and even criminal liabilities that may harm our subsidiaries’ business, including fines assessed for our subsidiaries current or historical operations, or demands or orders that our subsidiaries modify or even cease their business practices.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aware that, recently, the PRC government initiated a series of regulatory actions and statements to regulate business operations in certain areas in China, some of which were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These regulatory actions and statements emphasize the need to strengthen the administration over illegal securities activities and the supervision of China-based companies seeking overseas listings. Additionally, companies are required to undergo a cybersecurity review if they hold large amounts of data related to issues of national security, economic development, or public interest before carrying out mergers, restructuring, or splits that affect or may affect national security. These statements were recently issued, and their official guidance and interpretation remain unclear at this time. While we believe that our subsidiaries’ operations are not currently being affected, if such statements become applicable to our subsidiaries in Hong Kong, compliance with new regulatory requirements or any future implementation rules may present a range of new challenges which may create uncertainties and increase our subsidiaries’ cost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risks that the Chinese government may intervene or influence our subsidiaries’ operations at any time and may exert more control over offerings conducted overseas and foreign investment in Hong Kong-based issuers, which may result in a material change in our subsidiaries’ operations and/or the value of Intercont’s ordinary share. Any legal or regulatory changes that restrict or otherwise unfavorably impact our subsidiaries’ ability to conduct their business could decrease demand for their services, reduce revenues, increase costs, require them to obtain more licenses, permits, approvals or certificates, or subject them to additional liabilities. To the extent that any new or more stringent measures are implemented and applicable to our business, our business, financial condition and results of operations could be adversely affected, and the value of Intercont’s ordinary share could decrease or become worthless.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PRC government exerts substantial influence and discretion over the manner in which companies incorporated under the laws of the PRC must conduct their business activities. Our subsidiaries are Singapore or Hong Kong based company with no substantive operations in the mainland of China. However, if we were to become subject to such direct influence or discretion, it may result in a material change in our operations and/or the value of Intercont’s Class A Ordinary Shares, which would materially affect the interest of the investors.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do not have any operations in the mainland of China. All of our revenues are derived from our Shipping Subsidiaries headquartered in Hong Kong, a special administrative region of China. The PRC government currently does not exert direct influence and discretion over the manner in which we conduct our business activities outside of the mainland of China, however, there is no guarantee that we will not be subject to such direct influence or discretion in the future due to changes in laws or other unforeseeable reasons or as a result of our expansion or acquisition of operations in the mainland of China.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became subject to the direct intervention or influence of the PRC government at any time due to changes in laws or other unforeseeable reasons or as a result of our development, expansion or acquisition of operations in the PRC, it may require a material change in our operations and/or result in increased costs necessary to comply with existing and newly adopted laws and regulations or penalties for any failure to comply. In addition, the market prices of Intercont’s Class A Ordinary Shares could be adversely affected as a result of anticipated negative impacts of any such government actions, as well as negative investor sentiment towards Hong Kong-based companies subject to direct PRC government oversight and regulation, regardless of our actual operating performance. There can be no assurance that the PRC government would not intervene in or influence our operations at any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we: (i) believe we are not subject to the Trial Measures: (ii) believe we are not required to obtain permissions from any PRC authorities to operate or issue Intercont’s Class A Ordinary Shares to foreign investors or trade of Intercont’s Class A Ordinary Shares on Nasdaq; (iii) are not subject to permission requirements from the China Securities Regulatory Commission (the “CSRC”), the Cyberspace Administration of China (the “CAC”) or any other entity that is required to approve of our subsidiaries’ operations; and (iv) have not received or were denied such permissions by any PRC authorities. Given the current PRC regulatory environment, it is uncertain when and whether we will be required to obtain permission from the PRC government to list on U.S. exchanges in the future, and even when such permission is obtained, whether it will be denied or rescinded. Therefore, our operations could be adversely affected, directly or indirectly, by existing or future laws and regulations relating to its business or industry. As a result, Intercont’s Class A Ordinary Shares may decline in value dramatically or even become worthless should we become subject to new requirement to obtain permission from the PRC government to list on U.S. exchange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Shipping Subsidiaries are subject to various evolving Hong Kong laws and regulations regarding data privacy, which could subject them to government enforcement actions and investigations, fines, penalties, and suspension or disruption of their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Hong Kong Subsidiaries operate their business in Hong Kong and are thus subject to the laws and regulations of Hong Kong in respect of data privacy and data protection. The main legislation in Hong Kong concerning data privacy is the Personal Data (Privacy) Ordinance (Chapter 486 of the Laws of Hong Kong) (“PDPO”), which regulates the collection, usage, storage, and transfer of personal data and imposes a statutory duty on data users to comply with the six data protection principles and other provisions contained therein. The PDPO applies to a person who, either alone or jointly or in common with other persons, controls the collection, holding, processing or use of personal data in or from Hong Kong. Our directors confirm to the best of their knowledge, information, and belief, as of the date of this prospectus, (i) each of the Hong Kong Subsidiaries has complied with the laws and requirements in respect of data privacy in Hong Kong; (ii) none of the Shipping Subsidiaries has been involved in any litigation or regulatory action relating to breach of the PDPO; and (iii) they are not aware of any non-compliance incidents relating to any breach of the PDPO by any of the Shipping Subsidiaries since their respective dates of incorporation.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Failure to comply with the data privacy requirements in a timely manner, or at all, may subject us and/or the Shipping Subsidiaries to consequences including but not limited to government enforcement actions and investigations, fines, penalties, and suspension or disruption of the Shipping Subsidiaries’ operations, which may in turn adversely affect our financial conditions, results of operations and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Failure to comply with Hong Kong Competition Law may result in material and adverse effect on our business, financial condition and results of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in a competitive industry and a highly competitive market. We may be subject to a variety of laws and other obligations regarding competition law in Hong Kong, and any failure to comply with applicable laws and obligations could have a material and adverse effect on our business, financial condition and results of operations. We face significant competition in the market due to a large amount of goods and service providers. We may be subject to the Competition Ordinance (Chapter 619 of the Laws of Hong Kong) (“Competition Ordinance”), which laid down three forms of behavior and imposes three rules which are intended to prevent and discourage anti-competitive conduct: (i) the first conduct rule prohibits agreements between undertakings that have the object or effect of preventing, restricting and distorting competition in Hong Kong; (ii) the second conduct rule prohibits undertakings with a substantial degree of market power in a market from abusing that power by engaging in conduct that has the object or effect of preventing, restricting and distorting competition in Hong Kong; and (iii) the merger rule prohibits mergers involving carrier licence holders within the meaning of the Telecommunications Ordinance (Chapter 106 of the Laws of Hong Kong) that have or are likely to have the effect of substantially lessening competition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confirm that to the best of their knowledge, information and belief, as at the date of this prospectus, they do not consider that the Company has adopted any anti-competitive conduct described in the Competition Ordinance and will ensure that the Company continues to act in compliance with the Competition Ordinance. However, there may be uncertainties on the full effect of the rules in respect of compliance, infringement, and its effect on our business in particular when tendering is involved in securing contracts. We may face difficulties and may need to incur legal costs in ensuring our compliance with the rules. If we face any complaints of infringement of the Competition Ordinance, we may incur substantial legal costs and may result in business disruption and/or negative media coverage, which could adversely affect our business, results of operations and reputation.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become directly subject to the recent scrutiny, criticism and negative publicity involving U.S.-listed Chinese companies, we may have to expend significant resources to investigate and resolve the matter which could harm our business operations and our reputation and could result in a loss of your investment in Intercont’s Class A Ordinary Shares, especially if such matter cannot be addressed and resolved favorably.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public companies that have substantially all of their operations in China have been the subject of intense scrutiny, criticism and negative publicity by investors, financial commentators and regulatory agencies, such as the SEC. Much of the scrutiny, criticism and negative publicity has centered around financial and accounting irregularities, a lack of effective internal controls over financial accounting and reporting,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and our business. If we become the subject of any unfavorable allegations, whether such allegations are proven to be true or untrue, we may have to expend significant resources to investigate such allegations and/or defend the Company. This situation may be a major distraction to our management. If such allegations are not proven to be groundless, our Company and business operations will be severely hampered and your investment in Intercont’s Class A Ordinary Shares could be rendered worthless. In addition, major issues with other U.S. listed Chinese companies in the future, could have a negative effect on the value of your investment, even though the Company is not involved.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price for Intercont’s Class A Ordinary Shares could be adversely affected by increased tensions between the United States and China.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Recently there have been heightened tensions in the economic and political relations between the U.S. and China. On June 30, 2020, the Standing Committee of the PRC National People’s Congress issued the Law of the PRC on Safeguarding National Security in the Hong Kong Special Administrative Region. This law defines the duties and government bodies of Hong Kong for safeguarding national security and four categories of offences — secession, subversion, terrorist activities and collusion with a foreign country or external elements to endanger national security — and their corresponding penalties. On July 14, 2020, the U.S. President signed the Hong Kong Autonomy Act, or HKAA, into law, authorizing the U.S. administration to impose blocking sanctions against individuals and entities who are determined to have materially contributed to the erosion of Hong Kong’s autonomy. The HKAA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authorizes secondary sanctions, including the imposition of blocking sanctions, against foreign financial institutions that knowingly conduct a significant transaction with foreign persons sanctioned under this authority. The imposition of sanctions such as those provided in the HKAA is in practice discretionary and highly political, especially in a relationship as extensive and complex as that between the U.S. and China. It is difficult to predict the full impact of the HKAA on Hong Kong and companies like us. Furthermore, legislative or administrative actions in respect of Sino-U.S. relations could cause investor uncertainty for affected issuers, including us, and the market price of Intercont’s Class A Ordinary Shares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financial condition and results of operations, and/or the value of Intercont’s Class A Ordinary Shares or our ability to offer or continue to offer securities to investors may be materially and adversely affected to the extent the laws and regulations of the PRC become applicable to a company such as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do not have any operations in the mainland of China. As a result, the laws and regulations of the PRC do not currently have any material impact on our business, financial condition and results of operations. However, as we operate in Hong Kong, a special administrative region of China, there is no guarantee that if certain existing or future laws of the PRC become applicable to a company such as us, it will not have a material adverse impact on our business, financial condition and results of operations and/or our ability to offer or continue to offer securities to investors, any of which may cause the value of such securities to significantly decline or be worthless.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for the Basic Law, national laws of the PRC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and so do not apply directly to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sz w:val="20"/>
        </w:rPr>
        <w:t>o</w:t>
      </w:r>
      <w:r>
        <w:rPr>
          <w:rFonts w:ascii="Times New Roman PS Std;serif" w:hAnsi="Times New Roman PS Std;serif"/>
          <w:b w:val="false"/>
          <w:i w:val="false"/>
          <w:caps w:val="false"/>
          <w:smallCaps w:val="false"/>
          <w:sz w:val="20"/>
        </w:rPr>
        <w:t>n the other hand, the laws and regulations in the PRC are evolving, and their enactment timetable, interpretation and implementation involve significant uncertainties. There is no assurance that there will not be any changes in the economic, political and legal environment in Hong Kong in the future. All of the legal and operational risks associated in operating in the PRC also apply to the operations of our Hong Kong Subsidiaries, and we face the risks and uncertainties associated with the complex and evolving PRC laws and regulations, as to whether and how the recent and future PRC government statements and regulatory developments (such as those relating to data security or anti-monopoly) would be applicable to the Hong Kong Subsidiaries and us, and as to the possibilities that Chinese government may exercise significant oversight over the conduct of business in Hong Kong. To the extent any PRC laws and regulations become applicable to us, we may be subject to the risks and uncertainties associated with the legal system in the PRC, including with respect to the enforcement of laws and the possibility of changes of rules and regulations with little or no advance notice.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become subject to the laws and regulations of the PRC to the extent we commence business and customer facing operations in the mainland of China as a result of any future acquisition, expansion or organic growth.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Intercont’s Class A Ordinary Shares and this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Intercont’s Class A Ordinary Shares may encounter substantial volatility in its price, unrelated to our actual or anticipated operational performance, financial health, or prospects, posing challenges for potential investors in evaluating the rapidly changing value of Intercont’s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prices of Intercont’s Class A Ordinary Shares are likely to exhibit high volatility and could undergo wide fluctuations due to factors beyond our control. Such fluctuations may result from broad market and industry influences, including the performance and volatility of market prices or the financial results of other publicly listed companies based in Hong Kong or mainland China. Some of these companies have witnessed significant volatility post their initial public offerings, with instances of substantial price declines in the trading of their securities. The trading performances of securities from other Hong Kong and Chinese companies subsequent to their offerings may impact investor sentiments toward U.S.-listed companies based in Hong Kong, thereby affecting the trading performance of Intercont’s Class A Ordinary Shares, irrespective of our actual operational performance.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Furthermore, any adverse news or perceptions regarding inadequate corporate governance practices, fraudulent accounting, corporate structure, or other matters concerning Hong Kong and Mainland Chinese companies may also negatively influence investor sentiments toward companies in these regions, including us, even if we have not engaged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any inappropriate activities. Additionally, securities markets may undergo significant price and volume fluctuations unrelated to our operational performance, potentially having a material and adverse impact on the trading price of Intercont’s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above factors, the price and trading volume of Intercont’s Class A Ordinary Shares may be highly volatile due to multiple factors,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developments affecting us or our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variations in our revenues, profit, and cash flow;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general market reactions and financial market fluctuation due to the continuous Russia-Ukraine conflicts;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economic performance or market valuations of other financial services firms; political, social and economic conditions of the PRC and Hong Kong;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or anticipated fluctuations in our quarterly results of operations and changes or revisions of our expected results;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fluctuations of exchange rates among Hong Kong dollar, Renminbi, and the U.S. dollar;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financial estimates by securities research analysts;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detrimental negative publicity about us, our services, our officers, directors, major shareholders, other beneficial owners, our business partners, or our industry;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announcements by us or our competitors of new service offerings, acquisitions, strategic relationships, joint ventures, capital raisings or capital commitments;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additions to or departures of our senior management;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litigation or regulatory proceedings involving us, our officers, directors, or major shareholders;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release or expiry of lock-up or other transfer restrictions on our outstanding Class A Ordinary Shares;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or perceived potential sales of additional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factors above could lead to substantial and abrupt changes in the trading volume and price of Intercont’s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Recent instances have seen extreme surges in stock prices followed by rapid declines and heightened volatility in stock prices, particularly among companies with relatively smaller public floats that recently went public. As a relatively small-capitalization company with a modest public float, we may encounter increased stock price volatility, significant price surges, lower trading volume, and reduced liquidity compared to larger-cap companies. Specifically, Intercont’s Class A Ordinary Shares may be susceptible to swift and substantial price volatility, low trade volumes, and significant spreads between bid and ask prices. This volatility, including any stock run-up, may not be linked to our actual or anticipated operational performance, financial health, or prospects, posing challenges for potential investors in assessing the rapidly changing value of Intercont’s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if trading volumes of Intercont’s Class A Ordinary Shares are low, individuals trading in relatively small quantities may easily impact share prices. This low trade volume could also result in substantial price fluctuations, with large percentage changes occurring within a single trading day. Shareholders may face difficulties in quickly liquidating their investment or may be compelled to sell at reduced prices due to low trading volume. Overall market fluctuations and broader economic and political conditions may also adversely affect the market price of Intercont’s ordinary share. As a result of such volatility, investors may incur losses on their investment in Intercont’s ordinary share. A decline in the market price of Intercont’s Class A Ordinary Shares could also negatively impact Intercont’s ability to issue additional Class A Ordinary Shares or other securities and obtain additional financing in the future. There is no guarantee that an active market for Intercont’s ordinary share will develop or be sustained. If an active market does not emerge, holders of Intercont’s Ordinary Share may struggle to sell their shares promptly or may be unable to sell them at all.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Historically, shareholders of public companies have frequently initiated securities class action lawsuits against those companies following periods of market price instability. If we were to become involved in such a lawsuit, it could divert a substantial portion of our management’s attention and resources from our business operations and necessitate significant expenditures to defend against the suit, potentially impacting our results of operations. Regardless of the suit’s success, it could harm our reputation and limit our ability to raise capital in the future. Moreover, if a claim against us is successful, we may be required to pay substantial damages, which could have a material adverse effect on our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sale or availability for sale of substantial amounts of our Class A Ordinary Shares could adversely affect their market price.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substantial amounts of our Class A Ordinary Shares in the public market, or the perception that these sales could occur, could adversely affect the market price of our Class A Ordinary Shares and could materially impair our ability to raise capital through equity offerings in the future. Class A Ordinary Shares held by our existing shareholders may be sold in the public market in the future subject to the restrictions in Rule 144 and Rule 701 under the Securities Act. We cannot predict what effect, if any, market sales of securities held by our significant shareholders or any other shareholder or the availability of these securities for future sale will have on the market price of our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do not intend to pay dividends for the foreseeable future.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retain any future earnings to finance the operation and expansion of our business, and we do not expect to declare or pay any dividends in the foreseeable future. As a result, you may only receive a return on your investment in our Class A Ordinary Shares if the market price of our Class A Ordinary Shares increases.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do not publish research or reports about our business, or if the publish a negative report regarding our Class A Ordinary Shares, the price of our Class A Ordinary Shares and trading volume could decline.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our Class A Ordinary Shares may depend in part on the research and reports that industry or securities analysts publish about us or our business. We do not have any control over these analysts. If one or more of the analysts who cover us downgrade us, the price of our Class A Ordinary Shares would likely decline. If one or more of these analysts cease coverage of our company or fail to regularly publish reports on us, we could lose visibility in the financial markets, which could cause the price of our Class A Ordinary Shares and the trading volume to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estimates of market opportunity, forecasts of market growth included in this prospectus may prove to be inaccurate, and any real or perceived inaccuracies may harm our reputation and negatively affect our business. Even if the market in which we compete achieves the forecasted growth, our business could fail to grow at similar rates, if at all.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Market opportunity estimates and growth forecasts included in this prospectus are subject to significant uncertainty and are based on assumptions and estimates that may not prove to be accurate. The variables that go into the calculation of our market opportunities are subject to change over time, and there is no guarantee that any particular number or percentage of addressable companies covered by our market opportunities estimates will purchase our products and solutions at all or generate any particular level of revenues for us. Even if the market in which we compete meets the size estimates and growth forecasted in this prospectus, our business could fail to grow for a variety of reasons, including reasons outside of our control, such as competition in our industry.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price of our Class A Ordinary Shares could be subject to rapid and substantial volatility, and such volatility may make it difficult for prospective investors to assess the rapidly changing value of our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There have been instances of extreme stock price run-ups followed by rapid price declines and strong stock price volatility with recent initial public offerings, especially among those with relatively smaller public floats. As a relatively small-capitalization company with relatively small public float, we may experience greater stock price volatility, extreme price run-ups, lower trading volume and less liquidity than large-capitalization companies. In particular, our Class A Ordinary Shares may be subject to rapid and substantial price volatility, low volumes of trades and large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spreads in bid and ask prices. Such volatility, including any stock-run up, may be unrelated to our actual or expected operating performance and financial condition or prospects, making it difficult for prospective investors to assess the rapidly changing value of our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the trading volumes of our Class A Ordinary Shares are low, persons buying or selling in relatively small quantities may easily influence prices of our Class A Ordinary Shares. This low volume of trades could also cause the price of our Class A Ordinary Shares to fluctuate greatly, with large percentage changes in price occurring in any trading day session. Holders of our Class A Ordinary Shares may also not be able to readily liquidate their investment or may be forced to sell at depressed prices due to low volume trading. Broad market fluctuations and general economic and political conditions may also adversely affect the market price of our Class A Ordinary Shares. As a result of this volatility, investors may experience losses on their investment in our Ordinary Shares. A decline in the market price of our Class A Ordinary Shares also could adversely affect our ability to issue additional shares of Class A Ordinary Shares and our ability to obtain additional financing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lack of effective internal controls over financial reporting may affect our ability to accurately report our financial results or prevent fraud which may affect the market for and price of our Ordinary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implement Section 404 of the Sarbanes-Oxley Act of 2002, the SEC adopted rules requiring public companies to include a report of management on the company’s internal control over financial reporting. Prior to filing the registration statement of which this prospectus is a part, we were not subject to these rules. As a result, we do not have in place effective disclosure controls and procedures or internal controls over financial reporting. We will be subject to the requirement that we maintain internal controls and that management perform periodic evaluation of the effectiveness of the internal controls. Effective internal control over financial reporting is important to prevent fraud. As a result, our business, financial condition, results of operations and prospects, as well as the market for and trading price of our Class A Ordinary Shares, may be materially and adversely affected if we do not have effective internal controls. We do not presently have the financial resources or personnel to develop or implement systems that would provide us with the necessary information on a timely basis so as to be able to implement financial controls. As a result, we may not discover any problems in a timely manner and current and potential shareholders could lose confidence in our financial reporting, which would harm our business and the trading price of our Class A Ordinary Shares. The absence of internal controls over financial reporting may inhibit investors from purchasing our shares and may make it more difficult for us to raise funds in a debt or equity financing.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Intercont’s Class A Ordinary Shares may be prohibited from being traded on a national exchange under the Holding Foreign Companies Accountable Act if the PCAOB is unable to inspect our auditors. The delisting of Intercont’s Class A Ordinary Shares, or the threat of their being delisted, may materially and adversely affect the value of your investment. Furthermore, on June 22, 2021, the U.S. Senate passed the Accelerating Holding Foreign Companies Accountable Act, which was signed into law on December 29, 2022, amending the HFCAA to require the SEC to prohibit an issuer’s securities from trading on any U.S. stock exchanges if its auditor is not subject to PCAOB inspections for two consecutive years instead of three.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HFCAA, was enacted on December 18, 2020. The HFCAA states if the SEC determines that we have filed audit reports issued by a registered public accounting firm that has not been subject to inspection by the PCAOB for three consecutive years beginning in 2021, the SEC shall prohibit our shares from being traded on a national securities exchange or in the over-the-counter trading market in the United States. On March 24, 2021, the SEC adopted interim final rules relating to the implementation of certain disclosure and documentation requirements of the HFCAA. A company will be required to comply with these rules if the SEC identifies it as having a “non-inspection” year under a process to be subsequently established by the SEC. The SEC is assessing how to implement other requirements of the HFCAA, including the listing and trading prohibition requirements described above. Furthermore, on June 22, 2021, the U.S. Senate passed the Accelerating Holding Foreign Companies Accountable Act (the “AHFCAA”), which was signed into law on December 29, 2022, amending the HFCAA and requiring the SEC to prohibit an issuer’s securities from trading on any U.S. stock exchange if its auditor is not subject to PCAOB inspections for two consecutive years instead of three consecutive years. 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December 2, 2021, the SEC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On December 16, 2021, the PCAOB issued a Determination Report which found that the PCAOB is unable to inspect or investigate completely registered public accounting firms headquartered in: (i) China, and (ii) Hong Kong, a Special Administrative Region of the PRC, because of a position taken by one or more authorities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26, 2022, the PCAOB announced and signed a Statement of Protocol (the “Protocol”) with the China Securities Regulatory Commission and the Ministry of Finance of the People’s Republic of China. The Protocol provides the PCAOB with: (1) sole discretion to select the firms, audit engagements and potential violations it inspects and investigates, without any involvement of Chinese authorities; (2) procedures for PCAOB inspectors and investigators to view complete audit work papers with all information included and for the PCAOB to retain information as needed; (3) direct access to interview and take testimony from all personnel associated with the audits the PCAOB inspects or investigates.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15, 2022, the PCAOB issued a new Determination Report which: (1) vacated the December 16, 2021 Determination Report; and (2) concluded that the PCAOB has been able to conduct inspections and investigations completely in the PRC in 2022. The December 15, 2022 Determination Report cautions, however, that authorities in the PRC might take positions at any time that would prevent the PCAOB from continuing to inspect or investigate completely. As required by the HFCAA, if in the future the PCAOB determines it no longer can inspect or investigate completely because of a position taken by an authority in the PRC, the PCAOB will act expeditiously to consider whether it should issue a new determination.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former auditor, UHY, as an auditor of companies that are traded publicly in the U.S. and a firm registered with the PCAOB, is subject to laws in the U.S. pursuant to which the PCAOB conducts regular inspections to assess their compliance with the applicable professional standards. UHY is not among the PCAOB-registered public accounting firms registered in the mainland of China or Hong Kong that are subject to PCAOB’s determination on December 16, 2021 of having been unable to inspect or investigate completely. We are not aware of any reasons to believe or conclude that UHY would not permit an inspection by the PCAOB or that it may not be subject to such inspection. Our current auditor, Assentsure, as an auditor of companies that are traded publicly in the U.S. and a firm registered with the PCAOB, is subject to laws in the U.S. pursuant to which the PCAOB conducts regular inspections to assess their compliance with the applicable professional standards. Assentsure is not among the PCAOB-registered public accounting firms registered in the mainland of China or Hong Kong that are subject to PCAOB’s determination on December 16, 2021 of having been unable to inspect or investigate completely. We are not aware of any reasons to believe or conclude that Assentsure would not permit an inspection by the PCAOB or that it may not be subject to such inspection. However, given the recent developments, we cannot assure you whether PCAOB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Intercont’s Class A Ordinary Shares could still be delisted and prohibited from being traded over-the-counter under the HFCAA if the PCAOB determines in the future that it is unable to fully inspect or investigate our auditor which has a presence in China. Furthermore, there is no guarantee that future audit reports will be prepared by auditors that are completely inspected by the PCAOB, and, as such, future investors may be deprived of such inspections, which could result in limitations or restrictions to our access of the U.S. capital markets.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Although we do not believe we are required to file with the China Securities Regulatory Commission for this offering under the Trial Administrative Measures of Overseas Securities Offering and Listing by Domestic Enterprises promulgated in February 2023, if we are required to do so, we cannot assure you that we will be able to timely make such filing, in which case we may face sanctions by the CSRC or other PRC regulatory agencies for failure to timely file for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February 17, 2023, the CSRC issued the Trial Measures, which became effective on March 31, 2023. The CSRC also circulated Supporting Guidance Rules No. 1 through No. 5, Notes on the Trial Measures, Notice on Administration Arrangements for the Filing of Overseas Listings by Domestic Enterprises and relevant CSRC Answers to Reporter Questions, or collectively, the Guidance Rules and Notice, on CSRC’s official website, on the same day. The Trial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Measures, together with the Guidance Rules and Notice (collectively, the “New Overseas Listing Rules”), reiterate the basic principles of the Measures for the Filing of Overseas Securities Offering and Listing by Domestic Companies (Draft for Comments) and impose substantially the same requirements for the overseas securities offering and listing by domestic enterprises. Under the New Overseas Listing Rules, domestic enterprises conducting overseas securities offering and listing, either directly or indirectly, shall complete filings with the CSRC pursuant to the New Overseas Listing Rules’ requirements within three business days following the submission of application for an initial public offering or listing. To determine whether an overseas offering and listing will be deemed as “the indirect overseas offering and listing” by a PRC domestic company, the Trial Measures provides that (i) any overseas offering and listing made by an issuer that meets both the following explicit criteria will be determined as an “indirect overseas offering and listing”: (a) 50% or more of the issuer’s operating revenue, total profit, total assets or net assets as documented in its audited consolidated financial statements for the most recent accounting year is accounted for by PRC domestic companies (“Criteria A”), and (b) the main parts of the issuer’s business activities are conducted in mainland China, or its main places of business are located in mainland China, or the senior managers in charge of its business operation and management are mostly Chinese citizens or domiciled in mainland China; and (ii) the determination as to whether or not an overseas offering and listing by a PRC domestic company is an “indirect overseas offering and listing”, shall be made on a “substance over form” basis (the “Discretional Clause”).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24, 2023, the CSRC, Ministry of Finance of the PRC, National Administration of State Secrets Protection and National Archives Administration of China jointly issued the Strengthening the Confidentiality and Archive Management Work Relating to the Overseas Securities Offering and Listing by Domestic Enterprises (“Confidentiality and Archives Administration Provisions”), which came into effectiveness on March 31, 2023. The Confidentiality and Archives Administration Provisions require, among others, that PRC domestic enterprises seeking to offer and list securities in overseas markets, either directly or indirectly, shall establish the confidentiality and archives system, and shall complete approval and filing procedures with competent authorities, if such PRC domestic enterprises or their overseas listing entities provide or publicly disclose documents or materials involving state secrets and work secrets of PRC government agencies to relevant securities companies, securities service institutions, overseas regulatory agencies and other entities and individuals. It further stipulates that providing or publicly disclosing documents and materials which may adversely affect national security or public interests, and accounting files or copies of important preservation value to the state and society shall be subject to corresponding procedures in accordance with relevant laws and regulations. We do not believe we are subject to the filing and approval requirements because we have no business operation in or material connection with the mainland of China, and the offering of Intercont’s Class A Ordinary Shares will likely not be regarded as an indirect overseas offering by PRC domestic enterprises. However, we cannot rule out the possibility that CSRC would take a different view when determining whether to apply the Discretional Clause on us. Although we do not believe we are subject to the filing and approval requirements because we have no business operation in or material connection with the mainland of China, there are uncertainties regarding the interpretation and implementation of the New Overseas Listing Rules. If we become subject to the New Overseas Listing Rules, we cannot assure you that we will be able to timely make such filing, in which case we may face sanctions by the CSRC or other PRC regulatory agencies for failure to timely file for this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Although we do not believe we are subject to the review by the CAC or other PRC cybersecurity authorities because we have no operations in the mainland of China nor do we possess or process personal information from more than one million users, in light of recent events indicating greater oversight by the CAC over data security, we may be subject to a variety of PRC laws and other obligations regarding cybersecurity and data protection, and any failure to comply with applicable laws and obligations could have a material adverse effect on our business and the listing of Intercont’s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From 2021, the CAC along with other PRC regulatory authorities, has promulgated a series of regulations requiring data processors and businesses with access to a large amount of personal data to become subject to regulatory reviews and other administrative measures. For example, on July 7, 2022, the CAC promulgated the Measures on Security Assessment of Cross-border Data Transfer, which became effective on September 1, 2022. The data export measures require that any data processor, who processes or exports personal information exceeding a certain volume threshold pursuant to the measures, shall apply for a security assessment by the CAC before transferring any personal information abroad, including the following circumstances: (i) important data will be provided overseas by any data processor; (ii) personal information will be provided overseas by any operator of critical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infrastructure or any data processor who processes the personal information of more than 1,000,000 individuals; (iii) personal information will be provided overseas by any data processor who has provided the personal information of more than 100,000 individuals in the aggregate or has provided the sensitive personal information of more than 10,000 individuals in the aggregate since January 1 of last year; and (iv) other circumstances where the security assessment is required as prescribed by the CAC. A data processor shall, before applying for the security assessment of an outbound data transfer, conduct a self-assessment of the risks involved in the outbound data transfer. The security assessment of a cross-border data transfer shall focus on assessing the risks that may be brought about by the cross-border data transfer concerning national security, public interests, or the lawful rights and interests of individuals or organizations. Although we do not believe we are subject to such requirements because we do not have any business operations in the mainland of China, nor do we possess or process a large amount of personal information. However, we may become subject to a variety of PRC laws and other obligations regarding cybersecurity and data protection, and any failure to comply with applicable laws and obligations could have a material adverse effect on our business and our listing.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Certain existing shareholders have control over our Company and their interests may not be aligned with the interests of our other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Muchun Zhu, our Chairman, owns an aggregate of 81.27% of the total voting power of our outstanding shares as of the date of this prospectus. As a result, she has control over our business, including significant corporate actions such as mergers, consolidations, sales of all or substantially all of our assets, election of directors and other significant corporate 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Class A Ordinary Shares. These actions may be taken even if they are opposed by our other shareholders. In addition, the significant concentration of share ownership may adversely affect the trading price of the Class A Ordinary Shares due to investors’ perception that conflicts of interest may exist or arise. For more information regarding our principal shareholders and their affiliated entities, see “</w:t>
      </w:r>
      <w:r>
        <w:rPr>
          <w:rFonts w:ascii="Times New Roman PS Std;serif" w:hAnsi="Times New Roman PS Std;serif"/>
          <w:b w:val="false"/>
          <w:i/>
          <w:caps w:val="false"/>
          <w:smallCaps w:val="false"/>
          <w:sz w:val="20"/>
        </w:rPr>
        <w:t>Principal Shareholders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Volatility in Intercont’s Class A Ordinary Shares price may subject us to securities litigation.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When compared to seasoned issuers, the market for Intercont’s Class A Ordinary Shares may experience significant price volatility, and we anticipate that Intercont’s share price may be more volatile than a seasoned issuer for the foreseeable future. Following times of volatility in the market price of a firm’s Class A Ordinary Shares, plaintiffs have frequently started securities class action litigation against that company in the past. We may, in the future, be the target of similar litigation. Securities litigation could result in substantial costs and liabilities and could divert management’s attention and resources.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face difficulties in protecting your interests as a shareholder, as Cayman Islands law provides substantially less protection when compared to the laws of the United States and it may be difficult for a shareholder of Intercont to effect service of process or to enforce judgements obtained in the United States courts.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Intercont’s corporate affairs are governed by its memorandum and articles of association and by the Cayman Islands Companies Act (As Revised) (“Companies Act”) and common law of the Cayman Islands. The rights of shareholders to take legal action against Intercont’s directors and Intercont, actions by minority shareholders and the fiduciary responsibilities of Intercont’s directors to Intercont under Cayman Islands law are to a large extent governed by the common law of the Cayman Islands. The common law of the Cayman Islands is derived in part from comparatively limited judicial precedent in the Cayman Islands as well as from English common law. Decisions of the Privy Council (which is the final court of appeal for British Overseas Territories such as the Cayman Islands) on appeal from the Cayman Islands are binding on a court in the Cayman Islands. Decisions of the English courts, and particularly the Supreme Court of the United Kingdom and the Court of Appeal are generally of persuasive authority but are not binding on the courts of the Cayman Islands. The rights of Intercont’s shareholders and the fiduciary responsibilities of the directors of Intercont under Cayman Islands law are not as clearly established as they would be under statutes or judicial precedents in the U.S. In particular, the Cayman Islands has a less developed body of securities laws 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compared to the U.S., and provide significantly less protection to investors. In addition, Cayman Islands companies may not have standing to initiate a shareholder derivative action before the U.S. federal courts. The Cayman Islands courts are also unlikely to impose liabilities against us in original actions brought in the Cayman Islands, based on certain civil liability provisions of U.S. securities laws.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Currently, all of our operations are conducted outside the U.S., and substantially all of our assets are located outside the U.S. All of our directors and officers are nationals or residents of jurisdictions other than the U.S. and a substantial portion of their assets are located outside the U.S. As a result, it may be difficult for a shareholder to effect service of process within the U.S. upon these persons, or to enforce against us or them judgments obtained in U.S. courts, including judgments predicated upon the civil liability provisions of the securities laws of the U.S. or any state in the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all of the above, our shareholders may have more difficulty in protecting their interests through actions against us or our officers, directors or major shareholders than would shareholders of a corporation incorporated in a jurisdiction in the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Shareholders will suffer substantial dilution and the Company will not receive any proceeds if the holders of the Warrants elect to exercise such Warrants using the zero exercise price option.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issued as part of this offering contain a “zero exercise price option” provision which provides that a holder may effect a zero exercise price option at any time while the Warrants are outstanding following the initial issuance date. Under the zero exercise price option, the holder of the Warrants, has the right to receive the number of Class A Ordinary Shares set forth in the applicable Warrant, which will be more than such number of Class A Ordinary Shares that is issuable upon cash exercise or cashless exercise. Under this provision, the total number of Class A Ordinary Shares that may be issued upon exercise of all the Warrants if the zero exercise price warrant is utilized is up to [16,000,000] Class A Ordinary Shares. This is in addition to the up to [8,000,000] Class A Ordinary Shares that may be issued as part of the Units in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Consequently, following the exercise of all Warrants, the number of issued and outstanding Class A Ordinary Shares could increase from [number] as of the date of this prospectus to as many as [number] (assuming the Warrants issued in this offering are exercised in full under the zero exercise price option), which represents an increase of approximately [number]%.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stated cash exercise price at the initial exercise price of $[•] per Class A Ordinary Share and the cashless exercise option based on the same initial exercise price, the zero exercise price option allows exercise of the Warrants for no additional consideration. In addition, the number of Class A Ordinary Shares that investors will receive under the zero exercise price option will be more than such number of Class A Ordinary Shares that is issuable upon cash exercise or cashless exercise. As a result, there is no practical or financial incentive for holders of the Warrants to exercise the Warrants via cash exercise or cashless exercise and we do not expect to receive any proceeds from the exercise of the Warrants overall.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multiplier effect could result in a substantially larger number of shares being issued, leading to a greater degree of dilution and potentially decreasing the value of existing shareholders’ investments.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cannot continue to satisfy the continued listing requirements and other rules of the Nasdaq Global Market, our securities may be delisted, which could negatively impact the price of our securities and your ability to sell them.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Ordinary Shares are listed on the Nasdaq Capital Market. In order to maintain our listing on the Nasdaq Capital Market, we are required to comply with certain rules of the Nasdaq Capital Market, including those regarding minimum share price, minimum market value of publicly held shares, and various additional requirements. We may not be able to continue to satisfy these requirements and applicable rules. If we are unable to satisfy the Nasdaq Capital Market criteria for maintaining our listing, our securities could be subject to delisting.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Previously, on December 15, 2025, the Company received a notification letter (the “Notification Letter”) from the Listing Qualifications Department of the Nasdaq Stock Market LLC, notifying the Company that it is currently not in compliance with the minimum bid price requirement set forth under Nasdaq Listing Rule 5550(a)(2). The Notification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Letter is based upon the fact that the closing bid price of the Company’s ordinary shares (“Ordinary Shares”) was below $1.00 per share for a period of 30 consecutive business days from October 31, 2025 to December 12, 2025. On April 17, 2026, the Company received a notification from Nasdaq that the Company had regained compliance with Nasdaq Listing Rule 5550(a)(2), and the matter was closed. Given that a substantial number of Class A Ordinary Shares will be sold in this Offering, this Offering could cause a decrease in the bid price of our Class A Ordinary Shares and the Company may fail to meet the continued listing requirements again.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3, 2025, Nasdaq filed rule proposals with SEC to amend its initial and continuing listing standards. Nasdaq proposed an accelerated process for suspending and delisting companies with a listings deficiency that also have a Market Value of Listed Securities below $5 million. Nasdaq is submitting the proposed rules to the SEC for review. Regarding the accelerated process for suspending and delisting companies, Nasdaq is proposing to implement the new requirements 60 days after SEC approval.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Nasdaq Capital Market subsequently delists our securities from trading, we could face significant consequences,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limited availability for market quotations for our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reduced liquidity with respect to our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determination that our Class A Ordinary Share is a “penny stock,” which will require brokers trading in our Class A Ordinary Share to adhere to more stringent rules and possibly result in a reduced level of trading activity in the secondary trading market for our Class A Ordinary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limited amount of news and analyst coverage;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decreased ability to issue additional securities or obtain additional financing in the future.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This is a best efforts offering, no minimum number or dollar amount of securities is required to be sold, and we may not raise the amount of capital we believe is required for our business plans.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Because there is no minimum offering amount required as a condition to the closing of this offering, the actual offering amount, placement agent’s fees, and proceeds to us are not presently determinable and may be substantially less than the maximum amounts set forth above. We may sell fewer than all of the securities offered hereby, which may significantly reduce the amount of proceeds received by us, and investors in this offering will not receive a refund in the event that we do not sell a number of securities sufficient to fund our business plan. Thus, we may not raise the amount of capital we believe is required for our operations in the short term and may need to raise additional funds, which may not be available or available on terms acceptable to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may experience future dilution as a result of future equity offerings or acquisitions.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raise additional capital, we may in the future offer additional Class A Ordinary Shares or other securities convertible into or exchangeable for our Class A Ordinary Shares at prices that may not be the same as the price per share in this offering. We may sell shares or other securities in any future offering at a price per share that is less than the price per share paid by investors in this offering, and investors purchasing shares or other securities in the future could have rights superior to existing shareholders. The price per share at which we sell additional Class A Ordinary Shares, or securities convertible or exchangeable into our Class A Ordinary Shares, in future transactions or acquisitions may be higher or lower than the price per share paid by investors in this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management will have broad discretion over the use of the net proceeds from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This offering grants our management broad discretion in the application of the net proceeds. There are no contractual restrictions on how the management can allocate the net proceeds from this offering, which may be used at their discretion for general corporate purposes, including but not limited to, working capital, operational expenses,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debt, and potential repurchase of certain Class A Ordinary Shares from pre-IPO shareholders. While management intends to use the net proceeds in a manner that furthers our business objectives and maximizes the value for our investors, investors will have limited visibility into the specific uses of the net proceeds. This wide-ranging discretion allows management to allocate funds to areas that investors might not deem a priority or in their best interest. Consequently, the success of the investment is substantially dependent on the judgment of our management with regard to the application of the net proceeds. Investors should be aware that the broad discretion in the use of proceeds increases the risk of their investment, as it may reduce the ability to assess the viability and potential return of the investment. See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FINRA sales practice requirements may limit a shareholder’s ability to buy and sell our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June 30, 2020, the SEC implemented Regulation Best Interest requiring that “A broker, dealer, or a natural person who is an associated person of a broker or dealer, when making a recommendation of any securities transaction or investment strategy involving securities (including account recommendations) to a retail customer, shall act in the best interest of the retail customer at the time the recommendation is made, without placing the financial or other interest of the broker, dealer, or natural person who is an associated person of a broker or dealer making the recommendation ahead of the interest of the retail customer.” This is a significantly higher standard for broker-dealers to recommend securities to retail customers than before under prior suitability rules of the Financial Industry Regulatory Authority, Inc. (“FINRA”). FINRA suitability rules do still apply to institutional investors and require that in recommending an investment to a customer, a broker-dealer must have reasonable grounds for believing that the investment is suitable for that customer. Prior to recommending securities to their customers, broker-dealers must make reasonable efforts to obtain information about the customer’s financial status, tax status, investment objectives and other information, and, for retail customers, determine that the investment is in the customer’s “best interest,” and meet other SEC requirements. Both SEC Regulation Best Interest and FINRA’s suitability requirements may make it more difficult for broker-dealers to recommend that their customers buy speculative, low-priced securities. They may affect investing in our Class A Ordinary Shares, which may have the effect of reducing the level of trading activity in our securities. As a result, fewer broker-dealers may be willing to make a market in our Class A Ordinary Shares, reducing a shareholder’s ability to resell Class A Ordinary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 investment in our securities is speculative, and there can be no assurance of any return on any such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Investors are cautioned that an investment in the securities offered hereby is highly speculative and involves a significant degree of risk. The success of our business and the ability to achieve our business goals and objectives, as outlined in this prospectus, are subject to numerous uncertainties, contingencies and risks. As such, there is no assurance that investors will realize a return on their investment or that they will not lose their entire investment. Potential investors should carefully consider whether such a speculative investment is suitable for their financial situation and investment objectives before purchasing securities.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use the proceeds of this offering in ways with which you may not agree.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will have considerable discretion in deciding how to apply the proceeds of this offering.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will improve our results of operations or increase the price of our Class A Ordinary Shares, nor that these net proceeds will be placed only in investments that generate income or appreciate in value.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is no public market for the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Warrants offered in this offering are not and will not be listed on any securities exchange. Also, we do not intend to apply to have the Warrants listed on any securities exchange. Consequently, there is no established public trading market for the Warrants, and we do not intend to list the Warrants on any national securities exchange or trading system. Accordingly, investors may find it difficult to dispose of, or to obtain accurate quotations as to the market value of the Warrants. This lack of a trading market could result in investors being unable to liquidate their investment in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warrants or to sell them at a price that reflects their value. The absence of a public market for these securities could also reduce the liquidity and market price of our Class A Ordinary Shares for which these warrants are exercisable. Investors should be prepared to bear the risk of investment in the Warrants indefinitely.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There are no voting rights for the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the Warrants will not have the same voting rights as those associated with our ordinary shares and may have no voting rights with respect to the shares underlying the warrants until such shares are acquired upon exercise of the warrants. As a result, if such holders do not exercise their warrants, they will not have any influence over matters requiring shareholder approval during the period they hold the Warrants, as applicable.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Ownership interests of existing shareholders will be significantly diluted by the exercise of the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exercise of the Warrants will increase the number of ordinary shares issued and outstanding, which will significantly dilute the ownership interests of existing shareholders. The amount of dilution, or the reduction in value to existing ordinary shares, is determined by the amount of shares ultimately obtained upon the exercise of the Warrants relative to the number of ordinary shares outstanding at the time of exercise.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terms of the Warrants may be adjusted.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of the Warrants, including the exercise price and the number of Class A Ordinary Shares issuable upon exercise, may be adjusted in certain circumstances, including in the event of share dividends, share splits, and similar transactions. While adjustments are generally intended to prevent dilution for holders of the Warrants, there is no assurance that such adjustments will fully protect the value of the Warrants.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Warrants have beneficial ownership limitations.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investment in the Warrants involves a significant risk due to the 4.99% (or 9.99% if the investor so elects) beneficial ownership limitation. The terms of the Warrants prohibit any single holder from exercising the warrants if such exercise would result in the holder beneficially owning more than 4.99% (or 9.99% if the investor so elects) of our outstanding Class A Ordinary Shares immediately after the exercise, as elected by the holder at the time of issuance of the warrants. This limitation may also hinder the holder’s ability to exercise the Warrants when it may be most advantageous to do so, which could affect the value of their investment.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holders of the Warrants elect to exercise such warrants using the cashless exercise option, we may not receive any meaningful amount of additional funds upon the exercise of the Warrant.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contain a cashless exercise provision which provides that a holder may effect a “cashless exercise”, if at the time of any exercise hereof there is no effective registration statement registering, or the prospectus contained therein is not available for the issuance of the warrant shares to the holder. Under the cashless exercise option, the holder of the Warrants shall be entitled to receive a number of Class A Ordinary Shares equal to the quotient obtained by dividing [(A-B) (X)] by (A), where (A) = trading price calculated based on provided formula; (B) = the exercise price of the Warrants, as adjusted hereunder; and (X) = the number of warrant shares that would be issuable upon exercise of such warrant by means of a cash exercise. Subject to customary adjustments for share dividends, splits or other changes in share capital, the maximum number of Class A Ordinary Shares issuable upon cashless exercise of the Warrants is [16,000,000]. Accordingly, we will not receive any or any meaningful additional funds upon the cashless exercise of the Warrants.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Intercont is not likely to pay cash dividends in the foreseeable future.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currently intends to retain any future earnings for use in the operation and expansion of the business of itself and its subsidiaries. Accordingly, Intercont does not expect to pay any cash dividends in the foreseeable future but will review this policy as circumstances dictate. Should Intercont determine to pay dividends in the future, its ability to do so will depend upon the receipt of dividends or other payments from its subsidiaries.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Intercont is a foreign private issuer within the meaning of the rules under the Exchange Act, and as such it is exempt from certain provisions applicable to United States domestic public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 foreign private issuer within the meaning of the rules under the Exchange Act. As such, it is exempt from certain provisions applicable to United States domestic public companies. For example: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Intercont is not required to provide as many Exchange Act reports, or as frequently, as a domestic public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interim reporting, Intercont is permitted to comply solely with its home country requirements, which are less rigorous than the rules that apply to domestic public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Intercont is not required to provide the same level of disclosure on certain issues, such as executive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Intercont is exempt from provisions of Regulation FD aimed at preventing issuers from making selective disclosures of material information;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to comply with the sections of the Exchange Act regulating the solicitation of proxies, consents or authorizations in respect of a security registered under the Exchange Act;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Intercont is not required to comply with Section 16 of the Exchange Act requiring insiders to file public reports of their share ownership and trading activities and establishing insider liability for profits realized from any “short-swing” trading transaction. On December 18, 2025, the U.S. President signed into law the Holding Foreign Insiders Accountable Act (HFIAA), which eliminates the exemption to comply with Section 16 of the Exchange Act. The new law has taken effect on March 18, 2026. Directors and officers of foreign private issuers are required to publicly report their ownership in, and transactions involving, the applicable foreign private issuer’s securities to the SEC on Forms 3, 4, and 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required to file an annual report on Form 20-F within four months of the end of each fiscal year. In addition, Intercont intends to file reports on Form 6-K as a foreign private issuer. However, the information Intercont is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 Intercont is also an “emerging growth company” within the meaning of the Securities Act, which status affords it certain reduced disclosure requirements. The reduced disclosure requirement by being an emerging growth company overlap with some of those being a foreign private issuer, including reduced disclosure obligations regarding executive compensation in our periodic reports and proxy statements. Thus, even if Intercont no longer qualifies as an emerging growth company but remain a foreign private issuer, it will continue to be exempt from the more stringent compensation disclosures required of companies that are neither emerging growth companies nor foreign private issuers.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within the meaning of the Securities Act, and if we take advantage of certain exemptions from disclosure requirements available to emerging growth companies, this could make it more difficult to compare our performance with other public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within the meaning of the Securities Act, as modified by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As an “emerging growth company” under applicable laws, we are subject to reduced disclosure requirements. Such reduced disclosure may make Intercont’s Class A Ordinary Shares less attractive to investors.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as long as we remain an “emerging growth company”, as defined in the JOBS Act, we will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Because of these lessened regulatory requirements, our shareholders would be left without information or rights available to shareholders of more mature companies. If some investors find Intercont’s Class A Ordinary Shares less attractive as a result, there may be a less active trading market for Intercont’s Class A Ordinary Shares and our share price may be more volatile.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20"/>
      <w:bookmarkEnd w:id="5"/>
      <w:r>
        <w:rPr>
          <w:rFonts w:ascii="Times New Roman PS Std;serif" w:hAnsi="Times New Roman PS Std;serif"/>
          <w:b/>
          <w:i w:val="false"/>
          <w:caps w:val="false"/>
          <w:smallCaps w:val="false"/>
          <w:sz w:val="20"/>
        </w:rPr>
        <w:t xml:space="preserve">SPECIAL NOTE REGARDING FORWARD-LOOKING STATEMENTS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“Business” and “Regulations.” Known and unknown risks, uncertainties and other factors, including those listed under “Risk Factors,” may cause our actual results, performance or achievements to be materially different from those expressed or implied by the forward-looking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goals and strategies;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business development, financial condition and results of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expected growth of the global maritime shipping industry and the pulping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regarding demand for and market acceptance of our platform and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regarding our bases of merchants and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plans to invest in our products and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competition in our industry;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relevant government policies and regulations relating to our industry.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involve various risks and uncertainties. Although we believe that our expectations expressed in these forward-looking statements are reasonable, our expectations may later be found to be incorrect. 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thoroughly read this prospectus and the documents that we refer to herein with the understanding that our actual future results may be materially different from and worse than what we expect. We qualify all of our forward-looking statements by these cautionary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certain data and information that we obtained from various government and private publications. Statistical data in these publications also include projections based on a number of assumptions. Our industry may not grow at the rate projected by market data, or at all. Failure of this industry to grow at the projected rate may have a material and adverse effect on our business and the market price of Intercont’s Class A Ordinary Shares. In addition, rapidly changing nature of this industry results in significant uncertainties for any projections or estimates relating to the growth prospects or future condition of our industry. Furthermore, if any one or more of the assumptions underlying the market data are later found to be incorrect, actual results may differ from the projections based on these assumptions. You should not place undue reliance on these forward-looking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19"/>
      <w:bookmarkEnd w:id="6"/>
      <w:r>
        <w:rPr>
          <w:rFonts w:ascii="Times New Roman PS Std;serif" w:hAnsi="Times New Roman PS Std;serif"/>
          <w:b/>
          <w:i w:val="false"/>
          <w:caps w:val="false"/>
          <w:smallCaps w:val="false"/>
          <w:sz w:val="20"/>
        </w:rPr>
        <w:t xml:space="preserve">USE OF PROCEEDS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we will receive net proceeds from this offering of approximately $[•] million, after deducting the placement agent’s commissions, the non-accountable expense allowance, and estimated offering expenses payable by us, and none of the Warrants issued in this offering are exercised. However, because this is a best-efforts offering and there is no minimum offering amount required as a condition to the closing of this offering, the actual offering amount, placement agent fees, and net proceeds to us are not presently determinable and may be substantially less than the maximum amounts set forth on the cover page of this 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intend to use most of the net proceeds to us from this offering for general working capital purposes and other general corporate purposes. A portion of the proceeds may be used to repurchase Class A Ordinary Shares held by certain Pre-IPO shareholders, and the exact amount and timing of such repurchase will be determined in the Board’s discretion based on its evaluation of the Company’s business conditions.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To the extent that the net proceeds we receive from this offering are not immediately used for the above purposes, we intend to invest our net proceeds in short-term, interest-bearing bank deposits or debt instruments.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there is no minimum offering amount required as a condition to closing this offering, we may sell fewer than all or any of the securities offered hereby, which may significantly reduce the amount of proceeds received by us, and investors in this offering will not receive a refund in the event that we do not sell a number of securities sufficient to pursue the business goals outlined in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18"/>
      <w:bookmarkEnd w:id="7"/>
      <w:r>
        <w:rPr>
          <w:rFonts w:ascii="Times New Roman PS Std;serif" w:hAnsi="Times New Roman PS Std;serif"/>
          <w:b/>
          <w:i w:val="false"/>
          <w:caps w:val="false"/>
          <w:smallCaps w:val="false"/>
          <w:sz w:val="20"/>
        </w:rPr>
        <w:t xml:space="preserve">DIVIDEND POLICY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board of directors has discretion on whether to distribute dividends, subject to certain restrictions under Cayman Islands law. In addition, Intercont’s shareholders may by ordinary resolution declare a dividend, but no dividend may exceed the amount recommended by its board of directors. In either case, all dividends are subject to certain restrictions under Cayman Islands law, namely that Intercont may only pay dividends out of profits, share premium, or other funds legally available for distribution, and provided always that in no circumstances may a dividend be paid out of the share premium account if this would result in Intercont being unable to pay its debts as they fall due in the ordinary course of business immediately following the date on which the distribution is proposed to be paid. Even if Intercont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does not have any present plan to pay any cash dividends on its Class A Ordinary Shares in the foreseeable future after this offering. We currently intend to retain most, if not all, of our available funds and any future earnings to operate and grow our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 holding company incorporated in the Cayman Islands. Intercont may rely on dividends from its subsidiaries for its cash requirements, including any payment of dividends to its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17"/>
      <w:bookmarkEnd w:id="8"/>
      <w:r>
        <w:rPr>
          <w:rFonts w:ascii="Times New Roman PS Std;serif" w:hAnsi="Times New Roman PS Std;serif"/>
          <w:b/>
          <w:i w:val="false"/>
          <w:caps w:val="false"/>
          <w:smallCaps w:val="false"/>
          <w:sz w:val="20"/>
        </w:rPr>
        <w:t xml:space="preserve">CAPITALIZATION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capitalization, as of June 30, 2025 as follows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actual basis;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 forma basis to reflect: on an as adjusted basis giving effect to the sale of [8,000,000] Class A Ordinary Shares by us in this offering (assuming none of the Warrants to purchase Class A Ordinary Shares issued in this offering are exercised) at a public offering price of $[•] per Unit after deducting placement agent commissions, the non-accountable expense allowance, and estimated offering expenses payable by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1,437,740 Class A Ordinary Shares and 206,598.04 Class B Ordinary Shares are issued and outstanding. Holders of Class A Ordinary Shares and Class B Ordinary Shares have the same rights except for voting and conversion rights. In respect of matters requiring a vote of all shareholders by way of poll, each holder of Class A Ordinary Shares is entitled to one vote per Class A Ordinary Share and each holder of Class B Ordinary Shares is entitled to 30 votes per Class B Ordinary Share. The Class A Ordinary Shares are not convertible into shares of any other class. The Class B Ordinary Shares are convertible into Class A Ordinary Shares at any time after issuance at the option of the holder on a one-to-one basis. The Class B Ordinary Shares are not being converted as part of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the following table in conjunction with “</w:t>
      </w:r>
      <w:r>
        <w:rPr>
          <w:rFonts w:ascii="Times New Roman PS Std;serif" w:hAnsi="Times New Roman PS Std;serif"/>
          <w:b w:val="false"/>
          <w:i/>
          <w:caps w:val="false"/>
          <w:smallCaps w:val="false"/>
          <w:sz w:val="20"/>
        </w:rPr>
        <w:t>Use of Proceeds</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Management’s Discussion and Analysis of Financial Condition and Results of Operations</w:t>
      </w:r>
      <w:r>
        <w:rPr>
          <w:rFonts w:ascii="Times New Roman PS Std;serif" w:hAnsi="Times New Roman PS Std;serif"/>
          <w:b w:val="false"/>
          <w:i w:val="false"/>
          <w:caps w:val="false"/>
          <w:smallCaps w:val="false"/>
          <w:sz w:val="20"/>
        </w:rPr>
        <w:t>” and our financial statements and related notes included or incorporated by reference in this prospectus.</w:t>
      </w:r>
    </w:p>
    <w:tbl>
      <w:tblPr>
        <w:tblW w:w="10205" w:type="dxa"/>
        <w:jc w:val="left"/>
        <w:tblInd w:w="0" w:type="dxa"/>
        <w:tblLayout w:type="fixed"/>
        <w:tblCellMar>
          <w:top w:w="0" w:type="dxa"/>
          <w:left w:w="0" w:type="dxa"/>
          <w:bottom w:w="0" w:type="dxa"/>
          <w:right w:w="0" w:type="dxa"/>
        </w:tblCellMar>
      </w:tblPr>
      <w:tblGrid>
        <w:gridCol w:w="6866"/>
        <w:gridCol w:w="146"/>
        <w:gridCol w:w="301"/>
        <w:gridCol w:w="1396"/>
        <w:gridCol w:w="146"/>
        <w:gridCol w:w="314"/>
        <w:gridCol w:w="1036"/>
      </w:tblGrid>
      <w:tr>
        <w:trPr/>
        <w:tc>
          <w:tcPr>
            <w:tcW w:w="68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193"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rPr/>
        <w:tc>
          <w:tcPr>
            <w:tcW w:w="68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Actual</w:t>
            </w:r>
          </w:p>
        </w:tc>
        <w:tc>
          <w:tcPr>
            <w:tcW w:w="146" w:type="dxa"/>
            <w:tcBorders/>
            <w:vAlign w:val="bottom"/>
          </w:tcPr>
          <w:p>
            <w:pPr>
              <w:pStyle w:val="TableContents"/>
              <w:bidi w:val="0"/>
              <w:spacing w:before="0" w:after="283"/>
              <w:jc w:val="left"/>
              <w:rPr/>
            </w:pPr>
            <w:r>
              <w:rPr/>
              <w:t> </w:t>
            </w:r>
          </w:p>
        </w:tc>
        <w:tc>
          <w:tcPr>
            <w:tcW w:w="13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forma(1)</w:t>
            </w:r>
          </w:p>
        </w:tc>
      </w:tr>
      <w:tr>
        <w:trPr/>
        <w:tc>
          <w:tcPr>
            <w:tcW w:w="68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35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68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loan-noncurrent portion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655,907</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655,907</w:t>
            </w:r>
          </w:p>
        </w:tc>
      </w:tr>
      <w:tr>
        <w:trPr/>
        <w:tc>
          <w:tcPr>
            <w:tcW w:w="68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equity: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6" w:type="dxa"/>
            <w:tcBorders/>
            <w:vAlign w:val="bottom"/>
          </w:tcPr>
          <w:p>
            <w:pPr>
              <w:pStyle w:val="TableContents"/>
              <w:bidi w:val="0"/>
              <w:spacing w:before="0" w:after="283"/>
              <w:jc w:val="left"/>
              <w:rPr/>
            </w:pPr>
            <w:r>
              <w:rPr/>
              <w:t> </w:t>
            </w:r>
          </w:p>
        </w:tc>
      </w:tr>
      <w:tr>
        <w:trPr/>
        <w:tc>
          <w:tcPr>
            <w:tcW w:w="68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$0.0025 par value, 39,793,402 shares authorized, 1,012,774 shares issued and outstanding as of December 31, 2025, actual; and [    ] shares issued and outstanding, pro forma</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6" w:type="dxa"/>
            <w:tcBorders/>
            <w:shd w:fill="CCEEFF" w:val="clear"/>
            <w:vAlign w:val="bottom"/>
          </w:tcPr>
          <w:p>
            <w:pPr>
              <w:pStyle w:val="TableContents"/>
              <w:bidi w:val="0"/>
              <w:spacing w:before="0" w:after="283"/>
              <w:jc w:val="left"/>
              <w:rPr/>
            </w:pPr>
            <w:r>
              <w:rPr/>
              <w:t> </w:t>
            </w:r>
          </w:p>
        </w:tc>
      </w:tr>
      <w:tr>
        <w:trPr/>
        <w:tc>
          <w:tcPr>
            <w:tcW w:w="68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$0.0025 par value, 206,598 shares authorized, 206,598 shares issued and outstanding as of December 31, 2025 actual; and [    ] shares issued and outstanding, pro forma</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w:t>
            </w:r>
          </w:p>
        </w:tc>
      </w:tr>
      <w:tr>
        <w:trPr/>
        <w:tc>
          <w:tcPr>
            <w:tcW w:w="68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14,897,248</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6" w:type="dxa"/>
            <w:tcBorders/>
            <w:shd w:fill="CCEEFF" w:val="clear"/>
            <w:vAlign w:val="bottom"/>
          </w:tcPr>
          <w:p>
            <w:pPr>
              <w:pStyle w:val="TableContents"/>
              <w:bidi w:val="0"/>
              <w:spacing w:before="0" w:after="283"/>
              <w:jc w:val="left"/>
              <w:rPr/>
            </w:pPr>
            <w:r>
              <w:rPr/>
              <w:t> </w:t>
            </w:r>
          </w:p>
        </w:tc>
      </w:tr>
      <w:tr>
        <w:trPr/>
        <w:tc>
          <w:tcPr>
            <w:tcW w:w="68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earnings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9,685,281</w:t>
            </w:r>
          </w:p>
        </w:tc>
        <w:tc>
          <w:tcPr>
            <w:tcW w:w="146" w:type="dxa"/>
            <w:tcBorders/>
            <w:vAlign w:val="bottom"/>
          </w:tcPr>
          <w:p>
            <w:pPr>
              <w:pStyle w:val="TableContents"/>
              <w:bidi w:val="0"/>
              <w:spacing w:before="0" w:after="283"/>
              <w:jc w:val="left"/>
              <w:rPr/>
            </w:pPr>
            <w:r>
              <w:rPr/>
              <w:t> </w:t>
            </w:r>
          </w:p>
        </w:tc>
        <w:tc>
          <w:tcPr>
            <w:tcW w:w="31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6" w:type="dxa"/>
            <w:tcBorders/>
            <w:vAlign w:val="bottom"/>
          </w:tcPr>
          <w:p>
            <w:pPr>
              <w:pStyle w:val="TableContents"/>
              <w:bidi w:val="0"/>
              <w:spacing w:before="0" w:after="283"/>
              <w:jc w:val="left"/>
              <w:rPr/>
            </w:pPr>
            <w:r>
              <w:rPr/>
              <w:t> </w:t>
            </w:r>
          </w:p>
        </w:tc>
      </w:tr>
      <w:tr>
        <w:trPr/>
        <w:tc>
          <w:tcPr>
            <w:tcW w:w="68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Equity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24,585,578</w:t>
            </w:r>
          </w:p>
        </w:tc>
        <w:tc>
          <w:tcPr>
            <w:tcW w:w="146" w:type="dxa"/>
            <w:tcBorders/>
            <w:shd w:fill="CCEEFF" w:val="clear"/>
            <w:vAlign w:val="bottom"/>
          </w:tcPr>
          <w:p>
            <w:pPr>
              <w:pStyle w:val="TableContents"/>
              <w:bidi w:val="0"/>
              <w:spacing w:before="0" w:after="283"/>
              <w:jc w:val="left"/>
              <w:rPr/>
            </w:pPr>
            <w:r>
              <w:rPr/>
              <w:t> </w:t>
            </w:r>
          </w:p>
        </w:tc>
        <w:tc>
          <w:tcPr>
            <w:tcW w:w="3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8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Capitalization</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25,241,485</w:t>
            </w:r>
          </w:p>
        </w:tc>
        <w:tc>
          <w:tcPr>
            <w:tcW w:w="146" w:type="dxa"/>
            <w:tcBorders/>
            <w:vAlign w:val="bottom"/>
          </w:tcPr>
          <w:p>
            <w:pPr>
              <w:pStyle w:val="TableContents"/>
              <w:bidi w:val="0"/>
              <w:spacing w:before="0" w:after="283"/>
              <w:jc w:val="left"/>
              <w:rPr/>
            </w:pPr>
            <w:r>
              <w:rPr/>
              <w:t> </w:t>
            </w:r>
          </w:p>
        </w:tc>
        <w:tc>
          <w:tcPr>
            <w:tcW w:w="31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16"/>
      <w:bookmarkEnd w:id="9"/>
      <w:r>
        <w:rPr>
          <w:rFonts w:ascii="Times New Roman PS Std;serif" w:hAnsi="Times New Roman PS Std;serif"/>
          <w:b/>
          <w:i w:val="false"/>
          <w:caps w:val="false"/>
          <w:smallCaps w:val="false"/>
          <w:sz w:val="20"/>
        </w:rPr>
        <w:t xml:space="preserve">DILUTION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invest in the securities being offered in this offering, your ownership interest will be increased to the extent of the difference between the public offering price per share of our Class A Ordinary Shares and our pro forma as-adjusted net tangible book value per Class A Ordinary Share immediately after this offering. Such increase results from the fact that the public offering price per Class A Ordinary Share is substantially lower than the pro forma as-adjusted net tangible book value per Class A Ordinary Share attributable to the existing shareholders for our presently outstanding 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Class A Ordinary Shares and Class B Ordinary Shares have the same rights except for voting and conversion rights. In respect of matters requiring a vote of all shareholders by way of poll, each holder of Class A Ordinary Shares is entitled to one vote per Class A Ordinary Share and each holder of Class B Ordinary Shares is entitled to 30 votes per Class B Ordinary Share. The Class A Ordinary Shares are not convertible into shares of any other class. The Class B Ordinary Shares are convertible into Class A Ordinary Shares at any time after issuance at the option of the holder on a one-to-one basis. The Class B Ordinary Shares are not being converted as part of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net tangible book value as of December 31, 2025, was $[    ] per ordinary share. Net tangible book value represents the amount of our total consolidated tangible assets, less the amount of our total consolidated liabilities. Dilution is determined by subtracting the net tangible book value per Class A Ordinary Share (as adjusted for the offering) from the public offering price per Class A Ordinary Share and after deducting the estimated offering expenses payable by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giving effect to the issuance and sale of [8,000,000] Class A Ordinary Shares offered in this offering at the public offering price of $[•] per Unit, after deducting the placement agent commissions, the non-accountable expense allowance and the estimated offering expenses payable by us and excluding the Class A Ordinary Shares underlying the Warrants, and none of the Warrants in this offering are exercised, our pro forma as-adjusted net tangible book value as of December 31, 2025 would have been approximately $[    ] per ordinary share. This represents an immediate increase in net tangible book value of $[    ] per ordinary share to the existing shareholders, and an immediate increase in net tangible book value of $[    ] per ordinary share to investors purchasing Class A Ordinary Shares in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illustrates such dilution:</w:t>
      </w:r>
    </w:p>
    <w:tbl>
      <w:tblPr>
        <w:tblW w:w="10205" w:type="dxa"/>
        <w:jc w:val="left"/>
        <w:tblInd w:w="0" w:type="dxa"/>
        <w:tblLayout w:type="fixed"/>
        <w:tblCellMar>
          <w:top w:w="0" w:type="dxa"/>
          <w:left w:w="0" w:type="dxa"/>
          <w:bottom w:w="0" w:type="dxa"/>
          <w:right w:w="0" w:type="dxa"/>
        </w:tblCellMar>
      </w:tblPr>
      <w:tblGrid>
        <w:gridCol w:w="8250"/>
        <w:gridCol w:w="146"/>
        <w:gridCol w:w="457"/>
        <w:gridCol w:w="1352"/>
      </w:tblGrid>
      <w:tr>
        <w:trPr/>
        <w:tc>
          <w:tcPr>
            <w:tcW w:w="825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0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w:t>
              <w:br/>
              <w:t>Post-Offering(1)</w:t>
            </w:r>
          </w:p>
        </w:tc>
      </w:tr>
      <w:tr>
        <w:trPr/>
        <w:tc>
          <w:tcPr>
            <w:tcW w:w="82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price per Unit</w:t>
            </w:r>
          </w:p>
        </w:tc>
        <w:tc>
          <w:tcPr>
            <w:tcW w:w="146"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82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tangible book value per ordinary share as of December 31, 2025</w:t>
            </w:r>
          </w:p>
        </w:tc>
        <w:tc>
          <w:tcPr>
            <w:tcW w:w="146" w:type="dxa"/>
            <w:tcBorders/>
            <w:vAlign w:val="bottom"/>
          </w:tcPr>
          <w:p>
            <w:pPr>
              <w:pStyle w:val="TableContents"/>
              <w:bidi w:val="0"/>
              <w:spacing w:before="0" w:after="283"/>
              <w:jc w:val="left"/>
              <w:rPr/>
            </w:pPr>
            <w:r>
              <w:rPr/>
              <w:t> </w:t>
            </w:r>
          </w:p>
        </w:tc>
        <w:tc>
          <w:tcPr>
            <w:tcW w:w="4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82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net tangible book value per ordinary share attributable to this offering</w:t>
            </w:r>
          </w:p>
        </w:tc>
        <w:tc>
          <w:tcPr>
            <w:tcW w:w="146"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825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tangible book value per ordinary share immediately after this offering</w:t>
            </w:r>
          </w:p>
        </w:tc>
        <w:tc>
          <w:tcPr>
            <w:tcW w:w="146" w:type="dxa"/>
            <w:tcBorders/>
            <w:vAlign w:val="bottom"/>
          </w:tcPr>
          <w:p>
            <w:pPr>
              <w:pStyle w:val="TableContents"/>
              <w:bidi w:val="0"/>
              <w:spacing w:before="0" w:after="283"/>
              <w:jc w:val="left"/>
              <w:rPr/>
            </w:pPr>
            <w:r>
              <w:rPr/>
              <w:t> </w:t>
            </w:r>
          </w:p>
        </w:tc>
        <w:tc>
          <w:tcPr>
            <w:tcW w:w="4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r>
        <w:trPr/>
        <w:tc>
          <w:tcPr>
            <w:tcW w:w="825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net tangible book value per ordinary share to new investors participating in this offering</w:t>
            </w:r>
          </w:p>
        </w:tc>
        <w:tc>
          <w:tcPr>
            <w:tcW w:w="146" w:type="dxa"/>
            <w:tcBorders/>
            <w:shd w:fill="CCEEFF" w:val="clear"/>
            <w:vAlign w:val="bottom"/>
          </w:tcPr>
          <w:p>
            <w:pPr>
              <w:pStyle w:val="TableContents"/>
              <w:bidi w:val="0"/>
              <w:spacing w:before="0" w:after="283"/>
              <w:jc w:val="left"/>
              <w:rPr/>
            </w:pPr>
            <w:r>
              <w:rPr/>
              <w:t> </w:t>
            </w:r>
          </w:p>
        </w:tc>
        <w:tc>
          <w:tcPr>
            <w:tcW w:w="4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Assumes net proceeds of $[•] million from this offering of [8,000,000] Class A Ordinary Shares at an assumed offering price of $[•] per Unit, calculated as follows: gross offering proceeds of $[•] million, less placement agent commissions of $[•], the non-accountable expense allowance of $100,000, and offering expenses of approximately $[•], and none of the Warrants in this offering are exercised.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number of our ordinary shares to be outstanding after this offering is based on 1,437,740 Class A Ordinary Shares and 206,598.04] Class B Ordinary Shares outstanding as of the date of this prospectus, and excludes any Class A Ordinary Shares underlying the Warrants.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15"/>
      <w:bookmarkEnd w:id="10"/>
      <w:r>
        <w:rPr>
          <w:rFonts w:ascii="Times New Roman PS Std;serif" w:hAnsi="Times New Roman PS Std;serif"/>
          <w:b/>
          <w:i w:val="false"/>
          <w:caps w:val="false"/>
          <w:smallCaps w:val="false"/>
          <w:sz w:val="20"/>
        </w:rPr>
        <w:t xml:space="preserve">ENFORCEABILITY OF CIVIL LIABILITIES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incorporated under the laws of the Cayman Islands as an exempted company limited by shares. Intercont is incorporated in the Cayman Islands to take advantage of certain benefits associated with being a Cayman Islands exempted company, such as: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political and economic stability;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effective judicial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favorable tax system;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absence of exchange control or currency restrictions;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availability of professional and support services.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certain disadvantages accompany incorporation in the Cayman Islands. These disadvantages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Cayman Islands has a less developed body of securities laws as compared to the United States and these securities laws provide significantly less protection to investors as compared to the United States;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Cayman Islands companies may not have standing to sue before the federal courts of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constitutional documents do not contain provisions requiring that disputes, including those arising under the securities laws of the United States, between us, our officers, directors, and shareholders, be arbitrated.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operations are mainly conducted in Asia, and our assets are mainly located in Asia. A majority of Intercont’s directors and executive officers are nationals or residents of jurisdictions other than the United States, such as, Ms. Muchun Zhu, Intercont’s CEO and Chairman of the Board of Directors, currently residing in PRC, and some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has appointed Cogency Global, Inc. as its agent upon whom process may be served in any action brought against us under the securities laws of the United States.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been advised by Quality Law Services Ltd., our counsel as to Cayman Islands law, that the courts of the Cayman Islands are unlikely to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 so far as the liabilities imposed by those provisions are penal in nature.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also been advised by Quality Law Services Ltd. that in those circumstances, although there is no statutory recognition in the Cayman Islands of judgments obtained in the federal or state courts of the United States, a foreign money judgment of a foreign court of competent jurisdiction will be recognized and enforced in the courts of the Cayman Islands at common law, without any re-examination of the merits of the underlying dispute by an action commenced on the foreign judgment in the Grand Court of the Cayman Islands, provided that such judgment (i) is given by a foreign court of competent jurisdiction, (ii) is final and conclusive, (iii) is either for a liquidated sum not in respect of taxes, a fine or a penalty or similar fiscal or revenue obligations or, in certain circumstances, for in personam non-money relief, and (iv) is not inconsistent with a Cayman Islands judgment in respect of the same matter, impeachable on the grounds of fraud and was not obtained in a manner and is not of a kind the enforcement of which is contrary to natural justice or the public policy of the Cayman Islands.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Lawrence Chan &amp; Co., our counsel with respect to Hong Kong law, has advised us that judgment of United States courts will not be directly enforced in Hong Kong. There are currently no treaties or other arrangements providing for reciprocal enforcement of foreign judgments between Hong Kong and the U.S. However, an action can be brought upon a foreign judgment in Hong Kong courts. That is to say, a foreign judgment itself may form the basis of a cause of action since the judgment may be regarded as creating a debt between the parties to it. In an action for enforcement of a foreign judgment in Hong Kong, the enforcement is subject to various conditions, including but not limited to, that the foreign judgment is a final judgment conclusive upon the merits of the claim, the judgment is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 The defenses that are available to a defendant in an action in Hong Kong brought on the basis of a foreign judgment include lack of jurisdiction, breach of natural justice, fraud, and contrary to public policy. However, a separate legal action for debt must be commenced in Hong Kong in order to recover such debt from the judgment debtor.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uncertainty as to whether the courts of the PRC would (1) recognize or enforce judgments of United States courts or Cayman courts obtained against Intercont or its directors or officers predicated upon the civil liability provisions of the United States federal and state securities laws; or (2) entertain original actions brought in each respective jurisdiction against Intercont or its directors or officers predicated upon the United States federal and state securities laws. The recognition and enforcement of foreign judgments are provided for under PRC Civil Procedures Law. PRC courts may recognize and enforce foreign judgments in accordance with the requirements of PRC Civil Procedures Law based either on treaties or similar arrangements between China and the jurisdiction where the judgment is made or on principles of reciprocity between jurisdictions. China does not have any treaties and only limited reciprocity arrangements with the United States or the Cayman Islands that provide for the reciprocal recognition and enforcement of foreign judgments as of the date of this prospectus. In addition, according to the PRC Civil Procedures Law, courts in the PRC will not enforce a foreign judgment against Intercont or its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other relevant laws,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the PRC by virtue only of holding Intercont’s Class A Ordinary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14"/>
      <w:bookmarkEnd w:id="11"/>
      <w:r>
        <w:rPr>
          <w:rFonts w:ascii="Times New Roman PS Std;serif" w:hAnsi="Times New Roman PS Std;serif"/>
          <w:b/>
          <w:i w:val="false"/>
          <w:caps w:val="false"/>
          <w:smallCaps w:val="false"/>
          <w:sz w:val="20"/>
        </w:rPr>
        <w:t xml:space="preserve">MANAGEMENT’S DISCUSSION AND ANALYSIS OF FINANCIAL CONDITION AND RESULTS OF OPERATIONS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 should read the following discussion and analysis of our financial condition and results of operations in conjunction with our combined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and consolidated financial statements and the related notes included elsewhere in this prospectus. This discussion contains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Our actual results and the timing of selected events could differ materially from those anticipated in these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as a result of various factors, including those set forth under “Risk Factors” and elsewhere in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was established under the laws of the Cayman Islands on July 4, 2023 as a holding company. The Company, through its subsidiaries (collectively, the “Group”), is currently principally engaged in time charter service and vessel management services business globally.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our revenues were approximately $12.6 million and $13.4 million, respectively. For the six months ended December31, 2025 and 2024, we had a net loss of approximately $2.7 million and net income of $0.9 million, respectively.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2024 and 2023, our revenues were approximately $25.1 million, $25.5 million and $32.4 million, respectively. For the years ended June 30, 2025, 2024 and 2023, we had net income of approximately $3.1 million, $3.1 million and $10.9 million,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26, 2026, Intercont (Cayman) Limited (the “Company”) held an extraordinary general meeting of shareholders (the “Meeting”). At the Meeting, the shareholders approved, among other resolutions, an amendment to the Company’s authorized share capital, the creation of two new classes of ordinary shares, and the re-designation of existing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authorized share capital was increased from US$50,000, divided into 500,000,000 ordinary shares of par value US$0.0001 each, to US$100,000, divided into 1,000,000,000 ordinary shares of par value US$0.0001 each.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shareholders also authorized, established, and designated two new classes of ordinary shares: Class A Ordinary Shares and Class B Ordinary Shares. Class A shares have one vote each, while Class B shares have thirty votes each and weighted voting rights. Class B shares are convertible into Class A shares at the holder’s option, but Class A shares are not convertible into any other class.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the shareholders approved the re-designation of:</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5,164,951 existing authorized and issued ordinary shares as Class B Shares. This includes 908,708 shares held by EASCOR HOLDING LIMITED and 4,256,243 shares held by BEVERLY HOLDING LIMITED.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remaining 25,319,350 issued ordinary shares as Class A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969,515,699 authorized but unissued ordinary shares as Class A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 US$0.0025 (with any fractional entitlements to be round up to the next whole share). The share consolidation was accounted for on a retroactive basis pursuant to ASC 260. All ordinary shares and per share data for all periods have been retroactively restated accordingly.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Key Factors that Affect Operating Results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engaged in the international maritime transportation business of providing time charter and vessel management services globally and primarily derives its revenue from time charter contracts and providing vessel management services. We believe the principal factors that affect our future results of operations are the economic, regulatory, political and governmental conditions that affect the shipping industry generally and those that affect conditions in countries and markets in which our vessels engage in business. Other key factors that will be fundamental to our business, future financial condition and results of operations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demand for seaborne transportation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commercial and chartering operations to successfully employ our vessels at economically attractive rates;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 and efficient technical management of our vessels;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strength of and growth in our customer relationships.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factors discussed above, we believe certain specific factors will impact our consolidated results of operations. These factors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charter hire earned by the vessels under our charters;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access to capital required to acquire additional vessels and/or to implement our business strategy;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sell vessels at prices we deem satisfactory;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level of debt and the related interest expense and amortization of principal.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Results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six months ended December 31, 2025 and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results of our operations for the six months ended December 31, 2025 and 2024, respectively, and provides information regarding the dollar and percentage increase during such periods.</w:t>
      </w:r>
    </w:p>
    <w:tbl>
      <w:tblPr>
        <w:tblW w:w="10205" w:type="dxa"/>
        <w:jc w:val="left"/>
        <w:tblInd w:w="0" w:type="dxa"/>
        <w:tblLayout w:type="fixed"/>
        <w:tblCellMar>
          <w:top w:w="0" w:type="dxa"/>
          <w:left w:w="0" w:type="dxa"/>
          <w:bottom w:w="0" w:type="dxa"/>
          <w:right w:w="0" w:type="dxa"/>
        </w:tblCellMar>
      </w:tblPr>
      <w:tblGrid>
        <w:gridCol w:w="3298"/>
        <w:gridCol w:w="146"/>
        <w:gridCol w:w="286"/>
        <w:gridCol w:w="1246"/>
        <w:gridCol w:w="241"/>
        <w:gridCol w:w="146"/>
        <w:gridCol w:w="286"/>
        <w:gridCol w:w="1246"/>
        <w:gridCol w:w="241"/>
        <w:gridCol w:w="146"/>
        <w:gridCol w:w="286"/>
        <w:gridCol w:w="1201"/>
        <w:gridCol w:w="241"/>
        <w:gridCol w:w="146"/>
        <w:gridCol w:w="601"/>
        <w:gridCol w:w="448"/>
      </w:tblGrid>
      <w:tr>
        <w:trPr/>
        <w:tc>
          <w:tcPr>
            <w:tcW w:w="32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9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c>
          <w:tcPr>
            <w:tcW w:w="146" w:type="dxa"/>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049"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br/>
              <w:t>Change</w:t>
            </w:r>
          </w:p>
        </w:tc>
      </w:tr>
      <w:tr>
        <w:trPr/>
        <w:tc>
          <w:tcPr>
            <w:tcW w:w="32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7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49" w:type="dxa"/>
            <w:gridSpan w:val="2"/>
            <w:vMerge w:val="continue"/>
            <w:tcBorders/>
            <w:vAlign w:val="bottom"/>
          </w:tcPr>
          <w:p>
            <w:pPr>
              <w:pStyle w:val="Normal"/>
              <w:bidi w:val="0"/>
              <w:jc w:val="left"/>
              <w:rPr/>
            </w:pPr>
            <w:r>
              <w:rPr/>
            </w:r>
          </w:p>
        </w:tc>
      </w:tr>
      <w:tr>
        <w:trPr/>
        <w:tc>
          <w:tcPr>
            <w:tcW w:w="3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12,588,263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13,386,367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(798,104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4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9,582,321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9,564,100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3,005,942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3,822,267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(816,325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4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44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3,894,427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1,261,906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2,632,521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4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574,041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436,024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138,017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4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4,468,468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1,697,930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2,770,538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4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(1,462,526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2,124,337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(3,586,863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4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44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4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4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(1,192,046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(1,191,971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(28,139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11,826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4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(1,219,863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(1,228,405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(LOSS)/INCOME BEFORE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(2,682,389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895,932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(3,578,321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w:t>
            </w:r>
          </w:p>
        </w:tc>
        <w:tc>
          <w:tcPr>
            <w:tcW w:w="4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(2,682,389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895,932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(3,578,321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w:t>
            </w:r>
          </w:p>
        </w:tc>
        <w:tc>
          <w:tcPr>
            <w:tcW w:w="4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our total revenue was approximately $12.6 million as compared to approximately $13.4 million for the six months ended December 31, 2024, total revenue reduced by approximately $0.8 million, or 6%. For the six months ended December 31, 2025, revenue was impacted by dry-docking and major repairs, which resulted in off-hire days and a decrease in hire rate for time charter.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the disaggregated revenues by revenue streams were as follows:</w:t>
      </w:r>
    </w:p>
    <w:tbl>
      <w:tblPr>
        <w:tblW w:w="10043" w:type="dxa"/>
        <w:jc w:val="left"/>
        <w:tblInd w:w="0" w:type="dxa"/>
        <w:tblLayout w:type="fixed"/>
        <w:tblCellMar>
          <w:top w:w="0" w:type="dxa"/>
          <w:left w:w="0" w:type="dxa"/>
          <w:bottom w:w="0" w:type="dxa"/>
          <w:right w:w="0" w:type="dxa"/>
        </w:tblCellMar>
      </w:tblPr>
      <w:tblGrid>
        <w:gridCol w:w="3856"/>
        <w:gridCol w:w="146"/>
        <w:gridCol w:w="286"/>
        <w:gridCol w:w="1246"/>
        <w:gridCol w:w="146"/>
        <w:gridCol w:w="286"/>
        <w:gridCol w:w="1246"/>
        <w:gridCol w:w="146"/>
        <w:gridCol w:w="286"/>
        <w:gridCol w:w="1021"/>
        <w:gridCol w:w="241"/>
        <w:gridCol w:w="146"/>
        <w:gridCol w:w="504"/>
        <w:gridCol w:w="487"/>
      </w:tblGrid>
      <w:tr>
        <w:trPr/>
        <w:tc>
          <w:tcPr>
            <w:tcW w:w="38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99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gridSpan w:val="2"/>
            <w:vMerge w:val="continue"/>
            <w:tcBorders/>
            <w:vAlign w:val="bottom"/>
          </w:tcPr>
          <w:p>
            <w:pPr>
              <w:pStyle w:val="Normal"/>
              <w:bidi w:val="0"/>
              <w:jc w:val="left"/>
              <w:rPr/>
            </w:pPr>
            <w:r>
              <w:rPr/>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9,176,820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9,977,858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(801,038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4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5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3,411,443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3,408,509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12,588,263</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13,386,367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(798,104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4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reduced by approximately $0.8 million or 8% from approximately $10.0 million in the six months ended December 31, 2024, to approximately $9.2 million in the six months ended December 31, 2025. The decrease was primarily attributable to the decrease of hire rate for time charter during the six months ended December 31,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increased remained stable at approximately $3.4 million for the six months ended December 31, 2025 and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by revenue stream:</w:t>
      </w:r>
    </w:p>
    <w:tbl>
      <w:tblPr>
        <w:tblW w:w="10205" w:type="dxa"/>
        <w:jc w:val="left"/>
        <w:tblInd w:w="0" w:type="dxa"/>
        <w:tblLayout w:type="fixed"/>
        <w:tblCellMar>
          <w:top w:w="0" w:type="dxa"/>
          <w:left w:w="0" w:type="dxa"/>
          <w:bottom w:w="0" w:type="dxa"/>
          <w:right w:w="0" w:type="dxa"/>
        </w:tblCellMar>
      </w:tblPr>
      <w:tblGrid>
        <w:gridCol w:w="4258"/>
        <w:gridCol w:w="146"/>
        <w:gridCol w:w="286"/>
        <w:gridCol w:w="1126"/>
        <w:gridCol w:w="146"/>
        <w:gridCol w:w="286"/>
        <w:gridCol w:w="1126"/>
        <w:gridCol w:w="146"/>
        <w:gridCol w:w="286"/>
        <w:gridCol w:w="1021"/>
        <w:gridCol w:w="241"/>
        <w:gridCol w:w="146"/>
        <w:gridCol w:w="504"/>
        <w:gridCol w:w="487"/>
      </w:tblGrid>
      <w:tr>
        <w:trPr/>
        <w:tc>
          <w:tcPr>
            <w:tcW w:w="425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7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99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425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gridSpan w:val="2"/>
            <w:vMerge w:val="continue"/>
            <w:tcBorders/>
            <w:vAlign w:val="bottom"/>
          </w:tcPr>
          <w:p>
            <w:pPr>
              <w:pStyle w:val="Normal"/>
              <w:bidi w:val="0"/>
              <w:jc w:val="left"/>
              <w:rPr/>
            </w:pPr>
            <w:r>
              <w:rPr/>
            </w:r>
          </w:p>
        </w:tc>
      </w:tr>
      <w:tr>
        <w:trPr/>
        <w:tc>
          <w:tcPr>
            <w:tcW w:w="42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by revenue stream:</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2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time charter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6,676,992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6,509,744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167,248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5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vessel management services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2,905,329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3,054,356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(149,027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5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9,582,321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9,564,100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0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9059" w:type="dxa"/>
        <w:jc w:val="left"/>
        <w:tblInd w:w="0" w:type="dxa"/>
        <w:tblLayout w:type="fixed"/>
        <w:tblCellMar>
          <w:top w:w="0" w:type="dxa"/>
          <w:left w:w="0" w:type="dxa"/>
          <w:bottom w:w="0" w:type="dxa"/>
          <w:right w:w="0" w:type="dxa"/>
        </w:tblCellMar>
      </w:tblPr>
      <w:tblGrid>
        <w:gridCol w:w="3091"/>
        <w:gridCol w:w="146"/>
        <w:gridCol w:w="286"/>
        <w:gridCol w:w="1126"/>
        <w:gridCol w:w="146"/>
        <w:gridCol w:w="286"/>
        <w:gridCol w:w="1126"/>
        <w:gridCol w:w="146"/>
        <w:gridCol w:w="286"/>
        <w:gridCol w:w="1021"/>
        <w:gridCol w:w="241"/>
        <w:gridCol w:w="146"/>
        <w:gridCol w:w="546"/>
        <w:gridCol w:w="466"/>
      </w:tblGrid>
      <w:tr>
        <w:trPr/>
        <w:tc>
          <w:tcPr>
            <w:tcW w:w="30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97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01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12" w:type="dxa"/>
            <w:gridSpan w:val="2"/>
            <w:vMerge w:val="continue"/>
            <w:tcBorders/>
            <w:vAlign w:val="bottom"/>
          </w:tcPr>
          <w:p>
            <w:pPr>
              <w:pStyle w:val="Normal"/>
              <w:bidi w:val="0"/>
              <w:jc w:val="left"/>
              <w:rPr/>
            </w:pPr>
            <w:r>
              <w:rPr/>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by type: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0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lease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1,708,380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1,682,250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26,130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1,844,122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1,853,051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(8,929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Crew salary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3,389,202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3,013,299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375,903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2,640,617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3,015,500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(374,883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9,582,321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9,564,100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cost of revenues mainly consists of vessel lease expense, depreciation and amortization, crew salary and others. Total cost amounted to approximately $9.6 million for the six months ended December 31, 2025 and 2024, reflecting no material change between the two periods.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lease expense was approximately $1.7 million for the six months ended December 31, 2025 and 2024. Depreciation and amortization were approximately $1.8 million and $1.9 million for the six months ended December 31, 2025 and 2024. Crew salary was approximately $3.4 million for the six months ended December 31, 2025, representing an increase of approximately $0.4 million compared to approximately $3.0 million for the six months ended December 31, 2024. The increase was mainly due to an increase in the number of crew members. Other cost was approximately $2.6 million for the six months ended December 31, 2025, representing a decrease of approximately $0.4 million compared to approximately $3.0 million for the six months ended December 31, 2024. The decrease was mainly due to lower vessel maintenance and repair expenses.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tbl>
      <w:tblPr>
        <w:tblW w:w="9726" w:type="dxa"/>
        <w:jc w:val="left"/>
        <w:tblInd w:w="0" w:type="dxa"/>
        <w:tblLayout w:type="fixed"/>
        <w:tblCellMar>
          <w:top w:w="0" w:type="dxa"/>
          <w:left w:w="0" w:type="dxa"/>
          <w:bottom w:w="0" w:type="dxa"/>
          <w:right w:w="0" w:type="dxa"/>
        </w:tblCellMar>
      </w:tblPr>
      <w:tblGrid>
        <w:gridCol w:w="4501"/>
        <w:gridCol w:w="146"/>
        <w:gridCol w:w="286"/>
        <w:gridCol w:w="1126"/>
        <w:gridCol w:w="146"/>
        <w:gridCol w:w="478"/>
        <w:gridCol w:w="408"/>
        <w:gridCol w:w="146"/>
        <w:gridCol w:w="286"/>
        <w:gridCol w:w="1126"/>
        <w:gridCol w:w="146"/>
        <w:gridCol w:w="474"/>
        <w:gridCol w:w="457"/>
      </w:tblGrid>
      <w:tr>
        <w:trPr/>
        <w:tc>
          <w:tcPr>
            <w:tcW w:w="45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079"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 December 31,</w:t>
            </w:r>
          </w:p>
        </w:tc>
      </w:tr>
      <w:tr>
        <w:trPr/>
        <w:tc>
          <w:tcPr>
            <w:tcW w:w="4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48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 PROFIT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Profit</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Margin</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Profit</w:t>
            </w:r>
          </w:p>
        </w:tc>
        <w:tc>
          <w:tcPr>
            <w:tcW w:w="146"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Margin</w:t>
            </w:r>
          </w:p>
        </w:tc>
      </w:tr>
      <w:tr>
        <w:trPr/>
        <w:tc>
          <w:tcPr>
            <w:tcW w:w="4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time charter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2,499,828</w:t>
            </w:r>
          </w:p>
        </w:tc>
        <w:tc>
          <w:tcPr>
            <w:tcW w:w="146"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4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3,468,114</w:t>
            </w:r>
          </w:p>
        </w:tc>
        <w:tc>
          <w:tcPr>
            <w:tcW w:w="146"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4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vessel management services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506,114</w:t>
            </w:r>
          </w:p>
        </w:tc>
        <w:tc>
          <w:tcPr>
            <w:tcW w:w="146"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4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354,153</w:t>
            </w:r>
          </w:p>
        </w:tc>
        <w:tc>
          <w:tcPr>
            <w:tcW w:w="146" w:type="dxa"/>
            <w:tcBorders/>
            <w:vAlign w:val="bottom"/>
          </w:tcPr>
          <w:p>
            <w:pPr>
              <w:pStyle w:val="TableContents"/>
              <w:bidi w:val="0"/>
              <w:spacing w:before="0" w:after="283"/>
              <w:jc w:val="left"/>
              <w:rPr/>
            </w:pPr>
            <w:r>
              <w:rPr/>
              <w:t> </w:t>
            </w:r>
          </w:p>
        </w:tc>
        <w:tc>
          <w:tcPr>
            <w:tcW w:w="4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3,005,942</w:t>
            </w:r>
          </w:p>
        </w:tc>
        <w:tc>
          <w:tcPr>
            <w:tcW w:w="146"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c>
          <w:tcPr>
            <w:tcW w:w="4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3,822,267</w:t>
            </w:r>
          </w:p>
        </w:tc>
        <w:tc>
          <w:tcPr>
            <w:tcW w:w="146"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gross profit amounted to approximately $3.0 million for the six months ended December 31, 2025, compared to a gross profit of approximately $3.8 million for the six months ended December 31, 2024. Gross margin as a percent of overall revenue for the six months ended December 31, 2025, and 2024 was 24% and 29%, respectively. The decrease in gross profit margin was primarily due to lower gross profit margin for time charter in the six months ended December 31, 2025. Gross profit margin for time charter was 27% and 35%, respectively, for the six months ended December 31, 2025, and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Expenses</w:t>
      </w:r>
    </w:p>
    <w:tbl>
      <w:tblPr>
        <w:tblW w:w="10042" w:type="dxa"/>
        <w:jc w:val="left"/>
        <w:tblInd w:w="0" w:type="dxa"/>
        <w:tblLayout w:type="fixed"/>
        <w:tblCellMar>
          <w:top w:w="0" w:type="dxa"/>
          <w:left w:w="0" w:type="dxa"/>
          <w:bottom w:w="0" w:type="dxa"/>
          <w:right w:w="0" w:type="dxa"/>
        </w:tblCellMar>
      </w:tblPr>
      <w:tblGrid>
        <w:gridCol w:w="3781"/>
        <w:gridCol w:w="146"/>
        <w:gridCol w:w="301"/>
        <w:gridCol w:w="1261"/>
        <w:gridCol w:w="146"/>
        <w:gridCol w:w="301"/>
        <w:gridCol w:w="1261"/>
        <w:gridCol w:w="146"/>
        <w:gridCol w:w="301"/>
        <w:gridCol w:w="1261"/>
        <w:gridCol w:w="146"/>
        <w:gridCol w:w="568"/>
        <w:gridCol w:w="423"/>
      </w:tblGrid>
      <w:tr>
        <w:trPr/>
        <w:tc>
          <w:tcPr>
            <w:tcW w:w="37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7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c>
          <w:tcPr>
            <w:tcW w:w="146" w:type="dxa"/>
            <w:tcBorders/>
            <w:vAlign w:val="bottom"/>
          </w:tcPr>
          <w:p>
            <w:pPr>
              <w:pStyle w:val="TableContents"/>
              <w:bidi w:val="0"/>
              <w:spacing w:before="0" w:after="283"/>
              <w:jc w:val="left"/>
              <w:rPr/>
            </w:pPr>
            <w:r>
              <w:rPr/>
              <w:t> </w:t>
            </w:r>
          </w:p>
        </w:tc>
        <w:tc>
          <w:tcPr>
            <w:tcW w:w="156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99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6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gridSpan w:val="2"/>
            <w:vMerge w:val="continue"/>
            <w:tcBorders/>
            <w:vAlign w:val="bottom"/>
          </w:tcPr>
          <w:p>
            <w:pPr>
              <w:pStyle w:val="Normal"/>
              <w:bidi w:val="0"/>
              <w:jc w:val="left"/>
              <w:rPr/>
            </w:pPr>
            <w:r>
              <w:rPr/>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3,894,427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1,261,906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2,632,521</w:t>
            </w:r>
          </w:p>
        </w:tc>
        <w:tc>
          <w:tcPr>
            <w:tcW w:w="146" w:type="dxa"/>
            <w:tcBorders/>
            <w:vAlign w:val="bottom"/>
          </w:tcPr>
          <w:p>
            <w:pPr>
              <w:pStyle w:val="TableContents"/>
              <w:bidi w:val="0"/>
              <w:spacing w:before="0" w:after="283"/>
              <w:jc w:val="left"/>
              <w:rPr/>
            </w:pPr>
            <w:r>
              <w:rPr/>
              <w:t> </w:t>
            </w:r>
          </w:p>
        </w:tc>
        <w:tc>
          <w:tcPr>
            <w:tcW w:w="5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w:t>
            </w:r>
          </w:p>
        </w:tc>
        <w:tc>
          <w:tcPr>
            <w:tcW w:w="4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574,041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436,024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138,017</w:t>
            </w:r>
          </w:p>
        </w:tc>
        <w:tc>
          <w:tcPr>
            <w:tcW w:w="146"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4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4,468,468</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1,697,930</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2,770,538</w:t>
            </w:r>
          </w:p>
        </w:tc>
        <w:tc>
          <w:tcPr>
            <w:tcW w:w="146" w:type="dxa"/>
            <w:tcBorders/>
            <w:vAlign w:val="bottom"/>
          </w:tcPr>
          <w:p>
            <w:pPr>
              <w:pStyle w:val="TableContents"/>
              <w:bidi w:val="0"/>
              <w:spacing w:before="0" w:after="283"/>
              <w:jc w:val="left"/>
              <w:rPr/>
            </w:pPr>
            <w:r>
              <w:rPr/>
              <w:t> </w:t>
            </w:r>
          </w:p>
        </w:tc>
        <w:tc>
          <w:tcPr>
            <w:tcW w:w="5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4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consist of general and administrative expenses and research and development expenses. Operating expenses increased by approximately $2.8 million, or 163%, from approximately $1.7 million for the six months ended December 31, 2024, to approximately $4.5 million for the six months ended December 31, 2025 due to increase of approximately $0.1 million in research and development expenses and increase of approximately $2.6 million in general and administrative.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primarily consist of salary and compensation expenses relating to our accounting, human resources, and executive office personnel, and included office rental and depreciation and amortization expenses, office overhead, professional service fees and travel and transportation costs. General and administrative expenses increased by approximately $2.6 million due to (a) professional consulting and legal fees increased by approximately $2.1 million from $0.4 for the six months ended December 31, 2024, to approximately $2.5 million for the six months ended December 31, 2025, (b) other expenses including salary expenses, insurance expense etc. increased approximately $0.5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incurred approximately $0.6 million research and development expenses for entrusting a third party to conduct research on pulp transport device, pulp residue processing and remote control of ship pulping operation for the six months ended December 31, 2025.</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expenses,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 primarily consists of interest income, interest expense and other expense. Other expense, net was approximately $1.2 million for both the six months ended December 31, 2025 and 2024, remaining stable compared to the prior year.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(loss)/income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foregoing, net loss amounted to approximately $2.7 million for the six months ended December 31, 2025, compared to a net income of approximately $0.9 million for the six months ended December 31, 2024. The net loss was primarily attributable to strategic investments in post-IPO expansion initiatives, which included approximately $2.1 million in professional and advisory service fees incurred in connection with the execution of these growth plans.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Years Ended June 30, 2025 and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results of our operations for the years ended June 30, 2025 and 2024, respectively, and provides information regarding the dollar and percentage increase during such periods.</w:t>
      </w:r>
    </w:p>
    <w:tbl>
      <w:tblPr>
        <w:tblW w:w="10205" w:type="dxa"/>
        <w:jc w:val="left"/>
        <w:tblInd w:w="0" w:type="dxa"/>
        <w:tblLayout w:type="fixed"/>
        <w:tblCellMar>
          <w:top w:w="0" w:type="dxa"/>
          <w:left w:w="0" w:type="dxa"/>
          <w:bottom w:w="0" w:type="dxa"/>
          <w:right w:w="0" w:type="dxa"/>
        </w:tblCellMar>
      </w:tblPr>
      <w:tblGrid>
        <w:gridCol w:w="3517"/>
        <w:gridCol w:w="146"/>
        <w:gridCol w:w="286"/>
        <w:gridCol w:w="1246"/>
        <w:gridCol w:w="241"/>
        <w:gridCol w:w="146"/>
        <w:gridCol w:w="286"/>
        <w:gridCol w:w="1246"/>
        <w:gridCol w:w="241"/>
        <w:gridCol w:w="146"/>
        <w:gridCol w:w="286"/>
        <w:gridCol w:w="1021"/>
        <w:gridCol w:w="241"/>
        <w:gridCol w:w="146"/>
        <w:gridCol w:w="546"/>
        <w:gridCol w:w="464"/>
      </w:tblGrid>
      <w:tr>
        <w:trPr/>
        <w:tc>
          <w:tcPr>
            <w:tcW w:w="351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9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010"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5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10" w:type="dxa"/>
            <w:gridSpan w:val="2"/>
            <w:vMerge w:val="continue"/>
            <w:tcBorders/>
            <w:vAlign w:val="bottom"/>
          </w:tcPr>
          <w:p>
            <w:pPr>
              <w:pStyle w:val="Normal"/>
              <w:bidi w:val="0"/>
              <w:jc w:val="left"/>
              <w:rPr/>
            </w:pPr>
            <w:r>
              <w:rPr/>
            </w:r>
          </w:p>
        </w:tc>
      </w:tr>
      <w:tr>
        <w:trPr/>
        <w:tc>
          <w:tcPr>
            <w:tcW w:w="3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25,135,681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25,526,936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(391,255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4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17,299,701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18,177,271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(877,570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7,835,980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7,349,665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486,315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46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2,314,051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1,669,958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644,093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4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621,024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2,935,075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2,270,958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664,117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4,900,905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5,078,707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(177,802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4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bidi w:val="0"/>
              <w:spacing w:before="0" w:after="283"/>
              <w:jc w:val="left"/>
              <w:rPr/>
            </w:pPr>
            <w:r>
              <w:rPr/>
              <w:t> </w:t>
            </w:r>
          </w:p>
        </w:tc>
        <w:tc>
          <w:tcPr>
            <w:tcW w:w="46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307,225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(303,333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4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(1,911,780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(2,696,117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784,337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111,250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450,253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(339,003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4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(1,796,638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(1,938,639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c>
          <w:tcPr>
            <w:tcW w:w="4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BEFORE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3,104,267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3,140,068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(35,801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6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3,104,267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3,140,068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(35,801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6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June 30, 2025, our total revenue was approximately $25.1 million, decreasing by approximately $0.4 million, or 2%, as compared to approximately $25.5 million for the year ended June 30,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and 2024, the disaggregated revenues by revenue streams were as follows:</w:t>
      </w:r>
    </w:p>
    <w:tbl>
      <w:tblPr>
        <w:tblW w:w="10043" w:type="dxa"/>
        <w:jc w:val="left"/>
        <w:tblInd w:w="0" w:type="dxa"/>
        <w:tblLayout w:type="fixed"/>
        <w:tblCellMar>
          <w:top w:w="0" w:type="dxa"/>
          <w:left w:w="0" w:type="dxa"/>
          <w:bottom w:w="0" w:type="dxa"/>
          <w:right w:w="0" w:type="dxa"/>
        </w:tblCellMar>
      </w:tblPr>
      <w:tblGrid>
        <w:gridCol w:w="3856"/>
        <w:gridCol w:w="146"/>
        <w:gridCol w:w="286"/>
        <w:gridCol w:w="1246"/>
        <w:gridCol w:w="146"/>
        <w:gridCol w:w="286"/>
        <w:gridCol w:w="1246"/>
        <w:gridCol w:w="146"/>
        <w:gridCol w:w="286"/>
        <w:gridCol w:w="1021"/>
        <w:gridCol w:w="241"/>
        <w:gridCol w:w="146"/>
        <w:gridCol w:w="475"/>
        <w:gridCol w:w="516"/>
      </w:tblGrid>
      <w:tr>
        <w:trPr/>
        <w:tc>
          <w:tcPr>
            <w:tcW w:w="38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99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8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gridSpan w:val="2"/>
            <w:vMerge w:val="continue"/>
            <w:tcBorders/>
            <w:vAlign w:val="bottom"/>
          </w:tcPr>
          <w:p>
            <w:pPr>
              <w:pStyle w:val="Normal"/>
              <w:bidi w:val="0"/>
              <w:jc w:val="left"/>
              <w:rPr/>
            </w:pPr>
            <w:r>
              <w:rPr/>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19,306,369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19,613,798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(307,429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5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5,829,312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5,913,138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(83,826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5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25,135,681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25,526,936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(391,255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decreased by approximately $0.3 million or 2% from approximately $19.6 million in the year ended June 30, 2024 to approximately $19.3 million in the year ended June 30, 2025. The decrease was primarily attributable to the decrease of hire rate for time charter during the year ended June 30, 2025. The vessel management services revenue decreased by approximately $0.1 million from approximately $5.9 million in the year ended June 30, 2024 to approximately $5.8 million in the year ended June 30, 2025. The balance showed minimal year-over-year variation, reflecting consistent performance in vessel management services contracts for the years ended June 30, 2025 and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by revenue stream:</w:t>
      </w:r>
    </w:p>
    <w:tbl>
      <w:tblPr>
        <w:tblW w:w="10205" w:type="dxa"/>
        <w:jc w:val="left"/>
        <w:tblInd w:w="0" w:type="dxa"/>
        <w:tblLayout w:type="fixed"/>
        <w:tblCellMar>
          <w:top w:w="0" w:type="dxa"/>
          <w:left w:w="0" w:type="dxa"/>
          <w:bottom w:w="0" w:type="dxa"/>
          <w:right w:w="0" w:type="dxa"/>
        </w:tblCellMar>
      </w:tblPr>
      <w:tblGrid>
        <w:gridCol w:w="4018"/>
        <w:gridCol w:w="146"/>
        <w:gridCol w:w="286"/>
        <w:gridCol w:w="1246"/>
        <w:gridCol w:w="146"/>
        <w:gridCol w:w="286"/>
        <w:gridCol w:w="1246"/>
        <w:gridCol w:w="146"/>
        <w:gridCol w:w="286"/>
        <w:gridCol w:w="1021"/>
        <w:gridCol w:w="241"/>
        <w:gridCol w:w="146"/>
        <w:gridCol w:w="475"/>
        <w:gridCol w:w="516"/>
      </w:tblGrid>
      <w:tr>
        <w:trPr/>
        <w:tc>
          <w:tcPr>
            <w:tcW w:w="401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June 30,</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99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40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gridSpan w:val="2"/>
            <w:vMerge w:val="continue"/>
            <w:tcBorders/>
            <w:vAlign w:val="bottom"/>
          </w:tcPr>
          <w:p>
            <w:pPr>
              <w:pStyle w:val="Normal"/>
              <w:bidi w:val="0"/>
              <w:jc w:val="left"/>
              <w:rPr/>
            </w:pPr>
            <w:r>
              <w:rPr/>
            </w:r>
          </w:p>
        </w:tc>
      </w:tr>
      <w:tr>
        <w:trPr/>
        <w:tc>
          <w:tcPr>
            <w:tcW w:w="4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time charter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12,172,641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12,958,301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(785,660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5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vessel management services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5,127,060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5,218,970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(91,910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4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17,299,701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18,177,271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(877,570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5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9299" w:type="dxa"/>
        <w:jc w:val="left"/>
        <w:tblInd w:w="0" w:type="dxa"/>
        <w:tblLayout w:type="fixed"/>
        <w:tblCellMar>
          <w:top w:w="0" w:type="dxa"/>
          <w:left w:w="0" w:type="dxa"/>
          <w:bottom w:w="0" w:type="dxa"/>
          <w:right w:w="0" w:type="dxa"/>
        </w:tblCellMar>
      </w:tblPr>
      <w:tblGrid>
        <w:gridCol w:w="3091"/>
        <w:gridCol w:w="146"/>
        <w:gridCol w:w="286"/>
        <w:gridCol w:w="1246"/>
        <w:gridCol w:w="146"/>
        <w:gridCol w:w="286"/>
        <w:gridCol w:w="1246"/>
        <w:gridCol w:w="146"/>
        <w:gridCol w:w="286"/>
        <w:gridCol w:w="1021"/>
        <w:gridCol w:w="241"/>
        <w:gridCol w:w="146"/>
        <w:gridCol w:w="546"/>
        <w:gridCol w:w="466"/>
      </w:tblGrid>
      <w:tr>
        <w:trPr/>
        <w:tc>
          <w:tcPr>
            <w:tcW w:w="30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01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12" w:type="dxa"/>
            <w:gridSpan w:val="2"/>
            <w:vMerge w:val="continue"/>
            <w:tcBorders/>
            <w:vAlign w:val="bottom"/>
          </w:tcPr>
          <w:p>
            <w:pPr>
              <w:pStyle w:val="Normal"/>
              <w:bidi w:val="0"/>
              <w:jc w:val="left"/>
              <w:rPr/>
            </w:pPr>
            <w:r>
              <w:rPr/>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by type: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0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lease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2,630,985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2,912,582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(281,597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3,699,314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3,650,085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49,229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Crew salaries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6,034,597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6,104,637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(70,040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4,934,805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5,509,967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(575,162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17,299,701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18,177,271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(877,570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cost of revenues mainly consists of vessel lease expense, depreciation and amortization, crew salaries and others. Our cost amounted to approximately $17.3 million for the year ended June 30, 2025, representing a decrease of approximately $0.9 million or 5% compared to approximately $18.2 million for the year ended June 30,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lease expense was approximately $2.6 million for the year ended June 30, 2025, representing a decrease of approximately $0.3 million compared to approximately $2.9 million for the year ended June 30, 2024. Our vessel lease expense represents the operating lease expense for Top Advancer. As the gross daily hire is calculated based on Baltic Supramax index (“BSI”) 58 10TC published by the Baltic Exchange, the hire decreased following the BSI changes in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remained at approximately $3.7 million for the years ended June 30, 2025 and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Crew salaries were approximately $6.0 million for the year ended June 30, 2025, representing a decrease of approximately $0.1 million compared to approximately $6.1 million for the year ended June 30, 2024. Crew salaries decreased by approximately $0.1 million due to a slight decrease in the average wage level compared to the previous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cost was approximately $4.9 million for the year ended June 30, 2025, representing a decrease of approximately $0.6 million compared to approximately $5.5 million for the year ended June 30, 2024. Other cost decreased by approximately $0.6 million due to (a) idling fuel consumption decreased by approximately $0.2 million from $0.2 million for the year ended June 30, 2024 to approximately $0.003 million for the year ended June 30, 2025; (b) commission expenses decreased by approximately $0.2 million from approximately $0.2 million for the year ended June 30, 2024 to $nil for the year ended June 30, 2025; (c) lubricant expenses decreased by approximately $0.1 million from approximately $0.6 million for the year ended June 30, 2024 to approximately $0.5 million for the year ended June 30, 2025; (d) miscellaneous expenses including spare parts, repair and maintenance expenses etc. decreased by approximately $0.1 million.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tbl>
      <w:tblPr>
        <w:tblW w:w="9726" w:type="dxa"/>
        <w:jc w:val="left"/>
        <w:tblInd w:w="0" w:type="dxa"/>
        <w:tblLayout w:type="fixed"/>
        <w:tblCellMar>
          <w:top w:w="0" w:type="dxa"/>
          <w:left w:w="0" w:type="dxa"/>
          <w:bottom w:w="0" w:type="dxa"/>
          <w:right w:w="0" w:type="dxa"/>
        </w:tblCellMar>
      </w:tblPr>
      <w:tblGrid>
        <w:gridCol w:w="4501"/>
        <w:gridCol w:w="146"/>
        <w:gridCol w:w="286"/>
        <w:gridCol w:w="1126"/>
        <w:gridCol w:w="146"/>
        <w:gridCol w:w="478"/>
        <w:gridCol w:w="408"/>
        <w:gridCol w:w="146"/>
        <w:gridCol w:w="286"/>
        <w:gridCol w:w="1126"/>
        <w:gridCol w:w="146"/>
        <w:gridCol w:w="474"/>
        <w:gridCol w:w="457"/>
      </w:tblGrid>
      <w:tr>
        <w:trPr/>
        <w:tc>
          <w:tcPr>
            <w:tcW w:w="45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079"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4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48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5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 PROFIT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Profit</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Margin</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Profit</w:t>
            </w:r>
          </w:p>
        </w:tc>
        <w:tc>
          <w:tcPr>
            <w:tcW w:w="146"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Margin</w:t>
            </w:r>
          </w:p>
        </w:tc>
      </w:tr>
      <w:tr>
        <w:trPr/>
        <w:tc>
          <w:tcPr>
            <w:tcW w:w="4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time charter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7,133,728</w:t>
            </w:r>
          </w:p>
        </w:tc>
        <w:tc>
          <w:tcPr>
            <w:tcW w:w="146"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4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6,655,497</w:t>
            </w:r>
          </w:p>
        </w:tc>
        <w:tc>
          <w:tcPr>
            <w:tcW w:w="146"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4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vessel management services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702,252</w:t>
            </w:r>
          </w:p>
        </w:tc>
        <w:tc>
          <w:tcPr>
            <w:tcW w:w="146"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694,168</w:t>
            </w:r>
          </w:p>
        </w:tc>
        <w:tc>
          <w:tcPr>
            <w:tcW w:w="146" w:type="dxa"/>
            <w:tcBorders/>
            <w:vAlign w:val="bottom"/>
          </w:tcPr>
          <w:p>
            <w:pPr>
              <w:pStyle w:val="TableContents"/>
              <w:bidi w:val="0"/>
              <w:spacing w:before="0" w:after="283"/>
              <w:jc w:val="left"/>
              <w:rPr/>
            </w:pPr>
            <w:r>
              <w:rPr/>
              <w:t> </w:t>
            </w:r>
          </w:p>
        </w:tc>
        <w:tc>
          <w:tcPr>
            <w:tcW w:w="4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7,835,980</w:t>
            </w:r>
          </w:p>
        </w:tc>
        <w:tc>
          <w:tcPr>
            <w:tcW w:w="146"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4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7,349,665</w:t>
            </w:r>
          </w:p>
        </w:tc>
        <w:tc>
          <w:tcPr>
            <w:tcW w:w="146"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gross profit amounted to approximately $7.8 million for the year ended June 30, 2025, compared to a gross profit of approximately $7.3 million for the year ended June 30, 2024. Gross margin as a percentage of overall revenue for the years ended June 30, 2025 and 2024 was 31% and 29%, respectively. Gross profit margin for time charter was 37% and 34%, respectively, for the years ended June 30, 2025 and 2024 because the year-over-year decline in cost of revenue exceeded the revenue decline. Gross profit margin for vessel management stayed at 12% for the years ended June 30, 2025 and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Expenses</w:t>
      </w:r>
    </w:p>
    <w:tbl>
      <w:tblPr>
        <w:tblW w:w="9832" w:type="dxa"/>
        <w:jc w:val="left"/>
        <w:tblInd w:w="0" w:type="dxa"/>
        <w:tblLayout w:type="fixed"/>
        <w:tblCellMar>
          <w:top w:w="0" w:type="dxa"/>
          <w:left w:w="0" w:type="dxa"/>
          <w:bottom w:w="0" w:type="dxa"/>
          <w:right w:w="0" w:type="dxa"/>
        </w:tblCellMar>
      </w:tblPr>
      <w:tblGrid>
        <w:gridCol w:w="3781"/>
        <w:gridCol w:w="146"/>
        <w:gridCol w:w="301"/>
        <w:gridCol w:w="1261"/>
        <w:gridCol w:w="146"/>
        <w:gridCol w:w="301"/>
        <w:gridCol w:w="1261"/>
        <w:gridCol w:w="146"/>
        <w:gridCol w:w="301"/>
        <w:gridCol w:w="1051"/>
        <w:gridCol w:w="146"/>
        <w:gridCol w:w="513"/>
        <w:gridCol w:w="478"/>
      </w:tblGrid>
      <w:tr>
        <w:trPr/>
        <w:tc>
          <w:tcPr>
            <w:tcW w:w="37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7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Years Ended </w:t>
              <w:br/>
              <w:t>June 30,</w:t>
            </w:r>
          </w:p>
        </w:tc>
        <w:tc>
          <w:tcPr>
            <w:tcW w:w="146" w:type="dxa"/>
            <w:tcBorders/>
            <w:vAlign w:val="bottom"/>
          </w:tcPr>
          <w:p>
            <w:pPr>
              <w:pStyle w:val="TableContents"/>
              <w:bidi w:val="0"/>
              <w:spacing w:before="0" w:after="283"/>
              <w:jc w:val="left"/>
              <w:rPr/>
            </w:pPr>
            <w:r>
              <w:rPr/>
              <w:t> </w:t>
            </w:r>
          </w:p>
        </w:tc>
        <w:tc>
          <w:tcPr>
            <w:tcW w:w="135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99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5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gridSpan w:val="2"/>
            <w:vMerge w:val="continue"/>
            <w:tcBorders/>
            <w:vAlign w:val="bottom"/>
          </w:tcPr>
          <w:p>
            <w:pPr>
              <w:pStyle w:val="Normal"/>
              <w:bidi w:val="0"/>
              <w:jc w:val="left"/>
              <w:rPr/>
            </w:pPr>
            <w:r>
              <w:rPr/>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2,314,051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1,669,958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644,093</w:t>
            </w:r>
          </w:p>
        </w:tc>
        <w:tc>
          <w:tcPr>
            <w:tcW w:w="146" w:type="dxa"/>
            <w:tcBorders/>
            <w:vAlign w:val="bottom"/>
          </w:tcPr>
          <w:p>
            <w:pPr>
              <w:pStyle w:val="TableContents"/>
              <w:bidi w:val="0"/>
              <w:spacing w:before="0" w:after="283"/>
              <w:jc w:val="left"/>
              <w:rPr/>
            </w:pPr>
            <w:r>
              <w:rPr/>
              <w:t> </w:t>
            </w:r>
          </w:p>
        </w:tc>
        <w:tc>
          <w:tcPr>
            <w:tcW w:w="5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4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621,024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601,000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20,024</w:t>
            </w:r>
          </w:p>
        </w:tc>
        <w:tc>
          <w:tcPr>
            <w:tcW w:w="146" w:type="dxa"/>
            <w:tcBorders/>
            <w:shd w:fill="CCEEFF" w:val="clear"/>
            <w:vAlign w:val="bottom"/>
          </w:tcPr>
          <w:p>
            <w:pPr>
              <w:pStyle w:val="TableContents"/>
              <w:bidi w:val="0"/>
              <w:spacing w:before="0" w:after="283"/>
              <w:jc w:val="left"/>
              <w:rPr/>
            </w:pPr>
            <w:r>
              <w:rPr/>
              <w:t> </w:t>
            </w:r>
          </w:p>
        </w:tc>
        <w:tc>
          <w:tcPr>
            <w:tcW w:w="5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2,935,075</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2,270,958</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664,117</w:t>
            </w:r>
          </w:p>
        </w:tc>
        <w:tc>
          <w:tcPr>
            <w:tcW w:w="146" w:type="dxa"/>
            <w:tcBorders/>
            <w:vAlign w:val="bottom"/>
          </w:tcPr>
          <w:p>
            <w:pPr>
              <w:pStyle w:val="TableContents"/>
              <w:bidi w:val="0"/>
              <w:spacing w:before="0" w:after="283"/>
              <w:jc w:val="left"/>
              <w:rPr/>
            </w:pPr>
            <w:r>
              <w:rPr/>
              <w:t> </w:t>
            </w:r>
          </w:p>
        </w:tc>
        <w:tc>
          <w:tcPr>
            <w:tcW w:w="5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w:t>
            </w:r>
          </w:p>
        </w:tc>
        <w:tc>
          <w:tcPr>
            <w:tcW w:w="4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consist of general and administrative expenses and research and development expenses. Operating expenses increased by approximately $0.7 million, or 29%, from approximately $2.3 million for the year ended June 30, 2024 to approximately $2.9 million for the year ended June 30,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primarily consist of salary and compensation expenses relating to our accounting, human resources, and executive office personnel, and also included office rental and depreciation and amortization expenses, office overhead, professional service fees and travel and transportation costs. General and administrative expenses increased by approximately $0.6 million due to (a) professional consulting and legal fees decreased by approximately $0.2 million from $0.7 million for the year ended June 30, 2024 to approximately $0.5 million for the year ended June 30, 2025, (b) salary expense increased by approximately $0.7 million from $0.7 million for the year ended June 30, 2024 to approximately $1.4 million for the year ended June 30, 2025, (c) other expenses including, depreciation and amortization, rental and property management expense etc. increased approximately $0.1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incurred approximately $0.6 million research and development expenses for entrusting a third party to conduct research on pulp transport device, pulp residue processing and remote control of ship pulping operation for the year ended June 30, 2025.</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net primarily consists of interest income, interest expense and other income. Other expense, net decreased by approximately $0.1 million, or 7%, from approximately $1.9 million for the year ended June 30, 2024 to approximately $1.8 million for the year ended June 30, 2025. Interest income decreased by approximately $0.3 million in the year ended June 30, 2025 due to the absence of interest income from time deposits during the current year. Interest expense decreased by approximately $0.8 million to approximately $1.9 million in the year ended June 30, 2025 from approximately $2.7 million in the year ended June 30, 2024 due to decrease of loan balance and decrease of interest expense from financing lease. Other income, net for the year ended June 30, 2025 mainly consisted of investment income of approximately $0.1 million. Other income, net for the year ended June 30, 2024 mainly consisted of compensation income for early termination of contract of approximately $0.3 million and other miscellaneous items such as insurance compensation and material recycle income, etc.</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foregoing, net income remained at approximately $3.1 million for the year ended June 30, 2025 and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 the Years Ended June 30, 2024 and 2023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results of our operations for the years ended June 30, 2024 and 2023, respectively, and provides information regarding the dollar and percentage increase during such periods.</w:t>
      </w:r>
    </w:p>
    <w:tbl>
      <w:tblPr>
        <w:tblW w:w="10205" w:type="dxa"/>
        <w:jc w:val="left"/>
        <w:tblInd w:w="0" w:type="dxa"/>
        <w:tblLayout w:type="fixed"/>
        <w:tblCellMar>
          <w:top w:w="0" w:type="dxa"/>
          <w:left w:w="0" w:type="dxa"/>
          <w:bottom w:w="0" w:type="dxa"/>
          <w:right w:w="0" w:type="dxa"/>
        </w:tblCellMar>
      </w:tblPr>
      <w:tblGrid>
        <w:gridCol w:w="3294"/>
        <w:gridCol w:w="146"/>
        <w:gridCol w:w="286"/>
        <w:gridCol w:w="1246"/>
        <w:gridCol w:w="241"/>
        <w:gridCol w:w="146"/>
        <w:gridCol w:w="286"/>
        <w:gridCol w:w="1246"/>
        <w:gridCol w:w="241"/>
        <w:gridCol w:w="146"/>
        <w:gridCol w:w="286"/>
        <w:gridCol w:w="1201"/>
        <w:gridCol w:w="241"/>
        <w:gridCol w:w="146"/>
        <w:gridCol w:w="601"/>
        <w:gridCol w:w="452"/>
      </w:tblGrid>
      <w:tr>
        <w:trPr/>
        <w:tc>
          <w:tcPr>
            <w:tcW w:w="32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9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053"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2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53" w:type="dxa"/>
            <w:gridSpan w:val="2"/>
            <w:vMerge w:val="continue"/>
            <w:tcBorders/>
            <w:vAlign w:val="bottom"/>
          </w:tcPr>
          <w:p>
            <w:pPr>
              <w:pStyle w:val="Normal"/>
              <w:bidi w:val="0"/>
              <w:jc w:val="left"/>
              <w:rPr/>
            </w:pPr>
            <w:r>
              <w:rPr/>
            </w:r>
          </w:p>
        </w:tc>
      </w:tr>
      <w:tr>
        <w:trPr/>
        <w:tc>
          <w:tcPr>
            <w:tcW w:w="32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25,526,936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32,445,557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(6,918,621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18,177,271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18,068,312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7,349,665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14,377,245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(7,027,580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4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1,669,958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876,437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793,521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2,270,958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876,437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1,394,521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5,078,707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13,500,808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(8,422,101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4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307,225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194,576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112,649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(2,696,117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(2,718,304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450,253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(89,391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539,644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(604</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(1,938,639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(2,613,119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674,480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BEFORE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3,140,068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10,887,689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(7,747,621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4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9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9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3,140,068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10,887,689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(7,747,621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c>
          <w:tcPr>
            <w:tcW w:w="4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June 30, 2024, our total revenue was approximately $25.5 million as compared to approximately $32.4 million for the year ended June 30, 2023, total revenue decreasing by approximately $6.9 million, or 21%. The overall decrease in total revenue was primarily attributable to the decrease of hire rate for time charter during the year ended June 30,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2024 and 2023, the disaggregated revenues by revenue streams were as follows:</w:t>
      </w:r>
    </w:p>
    <w:tbl>
      <w:tblPr>
        <w:tblW w:w="10205" w:type="dxa"/>
        <w:jc w:val="left"/>
        <w:tblInd w:w="0" w:type="dxa"/>
        <w:tblLayout w:type="fixed"/>
        <w:tblCellMar>
          <w:top w:w="0" w:type="dxa"/>
          <w:left w:w="0" w:type="dxa"/>
          <w:bottom w:w="0" w:type="dxa"/>
          <w:right w:w="0" w:type="dxa"/>
        </w:tblCellMar>
      </w:tblPr>
      <w:tblGrid>
        <w:gridCol w:w="3817"/>
        <w:gridCol w:w="146"/>
        <w:gridCol w:w="286"/>
        <w:gridCol w:w="1246"/>
        <w:gridCol w:w="146"/>
        <w:gridCol w:w="286"/>
        <w:gridCol w:w="1246"/>
        <w:gridCol w:w="146"/>
        <w:gridCol w:w="286"/>
        <w:gridCol w:w="1201"/>
        <w:gridCol w:w="241"/>
        <w:gridCol w:w="146"/>
        <w:gridCol w:w="546"/>
        <w:gridCol w:w="466"/>
      </w:tblGrid>
      <w:tr>
        <w:trPr/>
        <w:tc>
          <w:tcPr>
            <w:tcW w:w="381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72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01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br/>
              <w:t>Change</w:t>
            </w:r>
          </w:p>
        </w:tc>
      </w:tr>
      <w:tr>
        <w:trPr/>
        <w:tc>
          <w:tcPr>
            <w:tcW w:w="38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72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12" w:type="dxa"/>
            <w:gridSpan w:val="2"/>
            <w:vMerge w:val="continue"/>
            <w:tcBorders/>
            <w:vAlign w:val="bottom"/>
          </w:tcPr>
          <w:p>
            <w:pPr>
              <w:pStyle w:val="Normal"/>
              <w:bidi w:val="0"/>
              <w:jc w:val="left"/>
              <w:rPr/>
            </w:pPr>
            <w:r>
              <w:rPr/>
            </w:r>
          </w:p>
        </w:tc>
      </w:tr>
      <w:tr>
        <w:trPr/>
        <w:tc>
          <w:tcPr>
            <w:tcW w:w="38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1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19,613,798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27,042,943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(7,429,145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1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5,913,138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5,402,614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510,524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25,526,936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32,445,557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(6,918,621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decreased by approximately $7.4 million or 27% from approximately $27.0 million in the year ended June 30, 2023 to approximately $19.6 million in the year ended June 30, 2024. The decrease was primarily attributable to the decrease of hire rate for time charter during the year ended June 30, 2024. The vessel management services revenue increased by approximately $0.5 million or 9% from approximately $5.4 million in the year ended June 30, 2023 to approximately $5.9 million in the year ended June 30, 2024. The increase was mainly due to an increase in vessel management services contracts for the year ended June 30,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Cost of 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by revenue stream:</w:t>
      </w:r>
    </w:p>
    <w:tbl>
      <w:tblPr>
        <w:tblW w:w="10205" w:type="dxa"/>
        <w:jc w:val="left"/>
        <w:tblInd w:w="0" w:type="dxa"/>
        <w:tblLayout w:type="fixed"/>
        <w:tblCellMar>
          <w:top w:w="0" w:type="dxa"/>
          <w:left w:w="0" w:type="dxa"/>
          <w:bottom w:w="0" w:type="dxa"/>
          <w:right w:w="0" w:type="dxa"/>
        </w:tblCellMar>
      </w:tblPr>
      <w:tblGrid>
        <w:gridCol w:w="4018"/>
        <w:gridCol w:w="146"/>
        <w:gridCol w:w="286"/>
        <w:gridCol w:w="1246"/>
        <w:gridCol w:w="146"/>
        <w:gridCol w:w="286"/>
        <w:gridCol w:w="1246"/>
        <w:gridCol w:w="146"/>
        <w:gridCol w:w="286"/>
        <w:gridCol w:w="1021"/>
        <w:gridCol w:w="241"/>
        <w:gridCol w:w="146"/>
        <w:gridCol w:w="475"/>
        <w:gridCol w:w="516"/>
      </w:tblGrid>
      <w:tr>
        <w:trPr/>
        <w:tc>
          <w:tcPr>
            <w:tcW w:w="401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99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401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gridSpan w:val="2"/>
            <w:vMerge w:val="continue"/>
            <w:tcBorders/>
            <w:vAlign w:val="bottom"/>
          </w:tcPr>
          <w:p>
            <w:pPr>
              <w:pStyle w:val="Normal"/>
              <w:bidi w:val="0"/>
              <w:jc w:val="left"/>
              <w:rPr/>
            </w:pPr>
            <w:r>
              <w:rPr/>
            </w:r>
          </w:p>
        </w:tc>
      </w:tr>
      <w:tr>
        <w:trPr/>
        <w:tc>
          <w:tcPr>
            <w:tcW w:w="4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time charter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12,958,301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13,151,715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(193,414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5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vessel management services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5,218,970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4,916,597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302,373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7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c>
          <w:tcPr>
            <w:tcW w:w="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18,177,271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18,068,312</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108,959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5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tbl>
      <w:tblPr>
        <w:tblW w:w="9299" w:type="dxa"/>
        <w:jc w:val="left"/>
        <w:tblInd w:w="0" w:type="dxa"/>
        <w:tblLayout w:type="fixed"/>
        <w:tblCellMar>
          <w:top w:w="0" w:type="dxa"/>
          <w:left w:w="0" w:type="dxa"/>
          <w:bottom w:w="0" w:type="dxa"/>
          <w:right w:w="0" w:type="dxa"/>
        </w:tblCellMar>
      </w:tblPr>
      <w:tblGrid>
        <w:gridCol w:w="3091"/>
        <w:gridCol w:w="146"/>
        <w:gridCol w:w="286"/>
        <w:gridCol w:w="1246"/>
        <w:gridCol w:w="146"/>
        <w:gridCol w:w="286"/>
        <w:gridCol w:w="1246"/>
        <w:gridCol w:w="146"/>
        <w:gridCol w:w="286"/>
        <w:gridCol w:w="1021"/>
        <w:gridCol w:w="241"/>
        <w:gridCol w:w="146"/>
        <w:gridCol w:w="546"/>
        <w:gridCol w:w="466"/>
      </w:tblGrid>
      <w:tr>
        <w:trPr/>
        <w:tc>
          <w:tcPr>
            <w:tcW w:w="30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1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54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101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0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4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12" w:type="dxa"/>
            <w:gridSpan w:val="2"/>
            <w:vMerge w:val="continue"/>
            <w:tcBorders/>
            <w:vAlign w:val="bottom"/>
          </w:tcPr>
          <w:p>
            <w:pPr>
              <w:pStyle w:val="Normal"/>
              <w:bidi w:val="0"/>
              <w:jc w:val="left"/>
              <w:rPr/>
            </w:pPr>
            <w:r>
              <w:rPr/>
            </w:r>
          </w:p>
        </w:tc>
      </w:tr>
      <w:tr>
        <w:trPr/>
        <w:tc>
          <w:tcPr>
            <w:tcW w:w="30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by type: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0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lease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2,912,582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3,598,016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(685,434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3,650,085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3,463,076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187,009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Crew salaries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6,104,637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5,909,905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194,732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5,509,967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5,097,315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412,652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0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cost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18,177,271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18,068,312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108,959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cost of revenues mainly consists of vessel lease expense, depreciation and amortization, crew salaries and others. Our cost amounted to approximately $18.2 million for the year ended June 30, 2024, representing an increase of approximately $0.1 million or 1% compared to approximately $18.1 million for the year ended June 30, 2023. The increase was due to no-load fuel consumption, lubricating oil and spare parts costs incurred during dry-docking.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lease expense was approximately $2.9 million for the year ended June 30, 2024, representing a decrease of approximately $0.7 million compared to approximately $3.6 million for the year ended June 30, 2023. Our vessel lease expense represents the operating lease expense for Top Advancer. As the gross daily hire is calculated based on Baltic Supramax index (“BSI”) 58 10TC published by the Baltic Exchange, the hire decreased significantly following the BSI changes in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and amortization were approximately $3.7 million for the year ended June 30, 2024, representing an increase of approximately $0.2 million compared to approximately $3.5 million for the year ended June 30, 2023. The increase was due to the depreciation expenses of newly installed desulfurizing towers on Top Diligence and Top Elegance.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Crew salaries were approximately $6.1 million for the year ended June 30, 2024, representing an increase of approximately $0.2 million compared to approximately $5.9 million for the year ended June 30, 2023. The Group offers competitive salaries for crew members. Crew salaries fluctuate with the market salaries.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cost was approximately $5.5 million for the year ended June 30, 2024, representing an increase of approximately $0.4 million compared to approximately $5.1 million for the year ended June 30, 2023. The increase was due to no-load fuel consumption, lubricating oil and spare parts costs incurred during dry-docking.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Gross profit</w:t>
      </w:r>
    </w:p>
    <w:tbl>
      <w:tblPr>
        <w:tblW w:w="9846" w:type="dxa"/>
        <w:jc w:val="left"/>
        <w:tblInd w:w="0" w:type="dxa"/>
        <w:tblLayout w:type="fixed"/>
        <w:tblCellMar>
          <w:top w:w="0" w:type="dxa"/>
          <w:left w:w="0" w:type="dxa"/>
          <w:bottom w:w="0" w:type="dxa"/>
          <w:right w:w="0" w:type="dxa"/>
        </w:tblCellMar>
      </w:tblPr>
      <w:tblGrid>
        <w:gridCol w:w="4501"/>
        <w:gridCol w:w="146"/>
        <w:gridCol w:w="286"/>
        <w:gridCol w:w="1126"/>
        <w:gridCol w:w="146"/>
        <w:gridCol w:w="478"/>
        <w:gridCol w:w="408"/>
        <w:gridCol w:w="146"/>
        <w:gridCol w:w="286"/>
        <w:gridCol w:w="1246"/>
        <w:gridCol w:w="146"/>
        <w:gridCol w:w="474"/>
        <w:gridCol w:w="457"/>
      </w:tblGrid>
      <w:tr>
        <w:trPr/>
        <w:tc>
          <w:tcPr>
            <w:tcW w:w="45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199"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45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44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260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5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GROSS PROFIT</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Profit</w:t>
            </w:r>
          </w:p>
        </w:tc>
        <w:tc>
          <w:tcPr>
            <w:tcW w:w="146" w:type="dxa"/>
            <w:tcBorders/>
            <w:vAlign w:val="bottom"/>
          </w:tcPr>
          <w:p>
            <w:pPr>
              <w:pStyle w:val="TableContents"/>
              <w:bidi w:val="0"/>
              <w:spacing w:before="0" w:after="283"/>
              <w:jc w:val="left"/>
              <w:rPr/>
            </w:pPr>
            <w:r>
              <w:rPr/>
              <w:t> </w:t>
            </w:r>
          </w:p>
        </w:tc>
        <w:tc>
          <w:tcPr>
            <w:tcW w:w="8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Margin</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Profit</w:t>
            </w:r>
          </w:p>
        </w:tc>
        <w:tc>
          <w:tcPr>
            <w:tcW w:w="146" w:type="dxa"/>
            <w:tcBorders/>
            <w:vAlign w:val="bottom"/>
          </w:tcPr>
          <w:p>
            <w:pPr>
              <w:pStyle w:val="TableContents"/>
              <w:bidi w:val="0"/>
              <w:spacing w:before="0" w:after="283"/>
              <w:jc w:val="left"/>
              <w:rPr/>
            </w:pPr>
            <w:r>
              <w:rPr/>
              <w:t> </w:t>
            </w:r>
          </w:p>
        </w:tc>
        <w:tc>
          <w:tcPr>
            <w:tcW w:w="9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Gross </w:t>
              <w:br/>
              <w:t>Margin</w:t>
            </w:r>
          </w:p>
        </w:tc>
      </w:tr>
      <w:tr>
        <w:trPr/>
        <w:tc>
          <w:tcPr>
            <w:tcW w:w="4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time charter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6,655,497</w:t>
            </w:r>
          </w:p>
        </w:tc>
        <w:tc>
          <w:tcPr>
            <w:tcW w:w="146"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4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13,891,228</w:t>
            </w:r>
          </w:p>
        </w:tc>
        <w:tc>
          <w:tcPr>
            <w:tcW w:w="146"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4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profit for vessel management services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694,168</w:t>
            </w:r>
          </w:p>
        </w:tc>
        <w:tc>
          <w:tcPr>
            <w:tcW w:w="146" w:type="dxa"/>
            <w:tcBorders/>
            <w:vAlign w:val="bottom"/>
          </w:tcPr>
          <w:p>
            <w:pPr>
              <w:pStyle w:val="TableContents"/>
              <w:bidi w:val="0"/>
              <w:spacing w:before="0" w:after="283"/>
              <w:jc w:val="left"/>
              <w:rPr/>
            </w:pPr>
            <w:r>
              <w:rPr/>
              <w:t> </w:t>
            </w:r>
          </w:p>
        </w:tc>
        <w:tc>
          <w:tcPr>
            <w:tcW w:w="4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40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486,017</w:t>
            </w:r>
          </w:p>
        </w:tc>
        <w:tc>
          <w:tcPr>
            <w:tcW w:w="146" w:type="dxa"/>
            <w:tcBorders/>
            <w:vAlign w:val="bottom"/>
          </w:tcPr>
          <w:p>
            <w:pPr>
              <w:pStyle w:val="TableContents"/>
              <w:bidi w:val="0"/>
              <w:spacing w:before="0" w:after="283"/>
              <w:jc w:val="left"/>
              <w:rPr/>
            </w:pPr>
            <w:r>
              <w:rPr/>
              <w:t> </w:t>
            </w:r>
          </w:p>
        </w:tc>
        <w:tc>
          <w:tcPr>
            <w:tcW w:w="47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c>
          <w:tcPr>
            <w:tcW w:w="45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7,349,665</w:t>
            </w:r>
          </w:p>
        </w:tc>
        <w:tc>
          <w:tcPr>
            <w:tcW w:w="146"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4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14,377,245</w:t>
            </w:r>
          </w:p>
        </w:tc>
        <w:tc>
          <w:tcPr>
            <w:tcW w:w="146"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45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gross profit amounted to approximately $7.3 million for the year ended June 30, 2024, compared to a gross profit of approximately $14.4 million for the year ended June 30, 2023. Gross margin as a percentage of overall revenue for the years ended June 30, 2024 and 2023 was 29% and 44%, respectively. The decrease in gross profit margin was primarily due to lower gross profit margin for time charter in the year ended June 30, 2024. Gross profit margin for time charter was 34% and 51%, respectively, for the years ended June 30, 2024 and 2023. While time charter revenue and vessel lease expense decreased by 27% and 19%, respectively, following the market hire rate fluctuation, we have other fixed costs such as depreciation and amortization and crew salaries which don’t have strict linear relationship with revenue, thus the time charter cost decrease was not as significant as time charter revenue decrease, which brought down the gross profit margin.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Expenses</w:t>
      </w:r>
    </w:p>
    <w:tbl>
      <w:tblPr>
        <w:tblW w:w="9832" w:type="dxa"/>
        <w:jc w:val="left"/>
        <w:tblInd w:w="0" w:type="dxa"/>
        <w:tblLayout w:type="fixed"/>
        <w:tblCellMar>
          <w:top w:w="0" w:type="dxa"/>
          <w:left w:w="0" w:type="dxa"/>
          <w:bottom w:w="0" w:type="dxa"/>
          <w:right w:w="0" w:type="dxa"/>
        </w:tblCellMar>
      </w:tblPr>
      <w:tblGrid>
        <w:gridCol w:w="3781"/>
        <w:gridCol w:w="146"/>
        <w:gridCol w:w="301"/>
        <w:gridCol w:w="1261"/>
        <w:gridCol w:w="146"/>
        <w:gridCol w:w="301"/>
        <w:gridCol w:w="1051"/>
        <w:gridCol w:w="146"/>
        <w:gridCol w:w="301"/>
        <w:gridCol w:w="1261"/>
        <w:gridCol w:w="146"/>
        <w:gridCol w:w="568"/>
        <w:gridCol w:w="423"/>
      </w:tblGrid>
      <w:tr>
        <w:trPr/>
        <w:tc>
          <w:tcPr>
            <w:tcW w:w="37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06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562"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c>
          <w:tcPr>
            <w:tcW w:w="146" w:type="dxa"/>
            <w:vMerge w:val="restart"/>
            <w:tcBorders/>
            <w:vAlign w:val="bottom"/>
          </w:tcPr>
          <w:p>
            <w:pPr>
              <w:pStyle w:val="TableContents"/>
              <w:bidi w:val="0"/>
              <w:spacing w:before="0" w:after="283"/>
              <w:jc w:val="left"/>
              <w:rPr/>
            </w:pPr>
            <w:r>
              <w:rPr/>
              <w:t> </w:t>
            </w:r>
          </w:p>
        </w:tc>
        <w:tc>
          <w:tcPr>
            <w:tcW w:w="99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 </w:t>
              <w:br/>
              <w:t>Change</w:t>
            </w:r>
          </w:p>
        </w:tc>
      </w:tr>
      <w:tr>
        <w:trPr/>
        <w:tc>
          <w:tcPr>
            <w:tcW w:w="37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c>
          <w:tcPr>
            <w:tcW w:w="146" w:type="dxa"/>
            <w:tcBorders/>
            <w:vAlign w:val="bottom"/>
          </w:tcPr>
          <w:p>
            <w:pPr>
              <w:pStyle w:val="TableContents"/>
              <w:bidi w:val="0"/>
              <w:spacing w:before="0" w:after="283"/>
              <w:jc w:val="left"/>
              <w:rPr/>
            </w:pPr>
            <w:r>
              <w:rPr/>
              <w:t> </w:t>
            </w:r>
          </w:p>
        </w:tc>
        <w:tc>
          <w:tcPr>
            <w:tcW w:w="1562"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gridSpan w:val="2"/>
            <w:vMerge w:val="continue"/>
            <w:tcBorders/>
            <w:vAlign w:val="bottom"/>
          </w:tcPr>
          <w:p>
            <w:pPr>
              <w:pStyle w:val="Normal"/>
              <w:bidi w:val="0"/>
              <w:jc w:val="left"/>
              <w:rPr/>
            </w:pPr>
            <w:r>
              <w:rPr/>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1,669,958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876,437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793,521</w:t>
            </w:r>
          </w:p>
        </w:tc>
        <w:tc>
          <w:tcPr>
            <w:tcW w:w="146" w:type="dxa"/>
            <w:tcBorders/>
            <w:vAlign w:val="bottom"/>
          </w:tcPr>
          <w:p>
            <w:pPr>
              <w:pStyle w:val="TableContents"/>
              <w:bidi w:val="0"/>
              <w:spacing w:before="0" w:after="283"/>
              <w:jc w:val="left"/>
              <w:rPr/>
            </w:pPr>
            <w:r>
              <w:rPr/>
              <w:t> </w:t>
            </w:r>
          </w:p>
        </w:tc>
        <w:tc>
          <w:tcPr>
            <w:tcW w:w="5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w:t>
            </w:r>
          </w:p>
        </w:tc>
        <w:tc>
          <w:tcPr>
            <w:tcW w:w="4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601,000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601,000</w:t>
            </w:r>
          </w:p>
        </w:tc>
        <w:tc>
          <w:tcPr>
            <w:tcW w:w="146" w:type="dxa"/>
            <w:tcBorders/>
            <w:shd w:fill="CCEEFF" w:val="clear"/>
            <w:vAlign w:val="bottom"/>
          </w:tcPr>
          <w:p>
            <w:pPr>
              <w:pStyle w:val="TableContents"/>
              <w:bidi w:val="0"/>
              <w:spacing w:before="0" w:after="283"/>
              <w:jc w:val="left"/>
              <w:rPr/>
            </w:pPr>
            <w:r>
              <w:rPr/>
              <w:t> </w:t>
            </w:r>
          </w:p>
        </w:tc>
        <w:tc>
          <w:tcPr>
            <w:tcW w:w="5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4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2,270,958</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876,437</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1,394,521</w:t>
            </w:r>
          </w:p>
        </w:tc>
        <w:tc>
          <w:tcPr>
            <w:tcW w:w="146" w:type="dxa"/>
            <w:tcBorders/>
            <w:vAlign w:val="bottom"/>
          </w:tcPr>
          <w:p>
            <w:pPr>
              <w:pStyle w:val="TableContents"/>
              <w:bidi w:val="0"/>
              <w:spacing w:before="0" w:after="283"/>
              <w:jc w:val="left"/>
              <w:rPr/>
            </w:pPr>
            <w:r>
              <w:rPr/>
              <w:t> </w:t>
            </w:r>
          </w:p>
        </w:tc>
        <w:tc>
          <w:tcPr>
            <w:tcW w:w="5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4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operating expenses consist of general and administrative expenses, and research and development expenses. Operating expenses increased by approximately $1.4 million, or 159%, from approximately $0.9 million for the year ended June 30, 2023 to approximately $2.3 million for the year ended June 30,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primarily consist of salary and compensation expenses relating to our accounting, human resources, and executive office personnel, and also included office rental and depreciation and amortization expenses, office overhead, professional service fees and travel and transportation costs. General and administrative expenses increased by approximately $0.8 million due to (a) professional consulting and legal fees increased by approximately $0.7 million from $nil for the year ended June 30, 2023 to approximately $0.7 million for the year ended June 30, 2024, (b) other expenses including, depreciation and amortization, rental and property management expense etc. increased approximately $0.1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incurred $0.6 million research and development expenses for entrusting a third party to develop a bio-pulping technology big data platform.</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expenses,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expenses, net primarily consists of interest income, interest expense and other income. Other expense, net was approximately $1.9 million in the year ended June 30, 2024, representing a decrease of approximately $0.7 million, or approximately 26%, as compared to approximately $2.6 million in the year ended June 30, 2023 due to the following reasons: (a) interest income increased by approximately $0.1 million in the year ended June 30, 2024; and (b) other income, net was approximately $0.5 million in the year ended June 30, 2024, as compared to other expense, net of approximately $0.1 million in the year ended June 30, 2023. The change of other income (expenses) was mainly due to the compensation for one customer’s early termination of time charter of contract for the year ended June 30,2024.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Net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of the foregoing, net income amounted to approximately $3.1 million for the year ended June 30, 2024, compared to a net income of approximately $10.9 million for the year ended June 30, 2023.</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Taxation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incorporated in Cayman Islands as an offshore holding Group and is not subject to tax on income or capital gain under the laws of Cayman Islands. Additionally, the Cayman Islands does not impose a withholding tax on payments of dividends to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British Virgin Islands Taxation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current laws of the British Virgin Islands, the Group’s subsidiary incorporated in BVI is not subject to income tax.</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shipping subsidiaries are registered in Hong Kong, where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 according to local tax regulations. Therefore, the Group’s revenue from shipping subsidiaries is either not subject or exempt from income tax according to the tax regulations prevailing in the country in which the Group operates. Hong Kong does not impose withholding tax on dividends and interest currently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Certain Mainland China Tax Laws and Regulations 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Enterprise Income Tax Law and the Implementing Rules impose a uniform 25% enterprise income tax rate to both foreign invested enterprises and domestic enterprises in mainland China, except where tax incentives are granted to special industries and projects. Under the Enterprise Income Tax Law, an enterprise established outside PRC with “de facto management bodies” within mainland China is considered a “resident enterprise” for mainland China enterprise income tax purposes and is generally subject to a uniform 25% enterprise income tax rate on its worldwide income. The Notice Regarding the Determination of Chinese-Controlled Offshore Incorporated Enterprises as PRC Tax Resident Enterprises on the Basis of De Facto Management Bodies promulgated by the SAT and last amended on December 29, 2017 and the Announcement of the State Administration of Taxation on Issues concerning the Determination of Resident Enterprises Based on the Standards of Actual Management Institutions promulgated by the SAT on January 29, 2014 set out the standards used to classify certain Chinese invested enterprises controlled by mainland China enterprises or mainland China enterprise groups and established outside of China as “resident enterprises”, which also clarified that dividends and other income paid by such mainland China “resident enterprises” will be considered mainland China source income and subject to mainland China withholding tax, currently at a rate of 10%, when paid to non-mainland China enterprise shareholders. This notice also subjects such mainland China “resident enterprises” to various reporting requirements with the mainland China tax authorities. Under the Implementing Rules, a “de facto management body” is defined as a body that has material and overall management and control over the manufacturing and business operations, personnel and human resources, finances and properties of an enterprise. On October 17, 2017, the SAT issued the Bulletin on Issues Concerning the Withholding of Non-PRC Resident Enterprise Income Tax at Source, or Bulletin 37, which replaced the Notice on Strengthening Administration of Enterprise Income Tax for Share Transfers by Non-PRC Resident Enterprises, issued by the SAT, on December 10, 2009, and partially replaced and supplemented by the rules under the Bulletin on Issues of Enterprise Income Tax on Indirect Transfers of Assets by Non-PRC Resident Enterprises, or Bulletin 7, issued by the SAT, on February 3, 2015. Under Bulletin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In respect of an indirect offshore transfer of assets of a mainland China establishment, the relevant gain is to be regarded as effectively connected with the mainland China establishment and therefore included in its enterprise income tax filing, and would consequently be subject to enterprise income tax at a rate of 25%. Where the underlying transfer relates to the immoveable properties in China or to equity investments in a PRC resident enterprise, which is not effectively connected to a mainland China establishment of a non-resident enterprise, a PRC enterprise income tax at 10% would apply, subject to available preferential tax treatment under applicable tax treaties or similar arrangements, and the party who is obligated to make the transfer payments bears the withholding obligation. Pursuant to Bulletin 37, the withholding party shall declare and pay the withheld tax to the competent tax authority in the place where such withholding party is located within 7 days from the date of occurrence of the withholding obligation. Both Bulletin 37 and Bulletin 7 do not apply to transactions of sale of shares by investors through a public stock exchange where such shares were acquired from a transaction through a public stock exchange.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National People’s Congress of the PRC enacted the Enterprise Income Tax Law, which became effective on January 1, 2008 and last amended on December 29, 2018. According to Enterprise Income Tax Law and the Regulation on the Implementation of the Enterprise Income Tax Law, or the Implementing Rules, which became effective on January 1, 2008 and further amended on April 23, 2019, dividends generated after January 1, 2008 and payable by a foreign-invested enterprise in mainland China to its foreign enterprise investors are subject to a 10% withholding tax, unless any such foreign enterprise investor’s jurisdiction of incorporation has a tax treaty with the PRC that provides for a preferential withholding arrangement. According to the Notice of the Arrangement between mainland China and the Hong Kong Special Administrative Region for the Avoidance of Double Taxation and Prevention of Fiscal Evasion with Respect to Taxes on Income (“Double Tax Avoidance Arrangement”), the withholding tax rate in respect of the payment of dividends by a mainland China enterprise to a Hong Kong enterprise may be reduced to 5% from a standard rate of 10% if the Hong Kong enterprise directly holds at least 25% of the mainland China enterprise and certain other conditions are met, including: (i) the Hong Kong enterprise must directly own the required percentage of equity interests and voting rights in the mainland China resident enterprise; and (ii) the Hong Kong enterprise must have directly owned such required percentage in the mainland China resident enterprise throughout the 12 months prior to receiving the dividends. However, based on the Circular on Certain Issues with Respect to the Enforcement of Dividend Provisions in Tax Treaties issued on February 20, 2009 by the SAT, if the relevant PRC tax authorities determine, in their discretion, that a company benefits from such reduced income tax rate due to a structure or arrangement that is primarily tax-driven, such mainland China tax authorities may adjust the preferential tax treatment; and based on the Announcement on Certain Issues with Respect to the “Beneficial Owner” in Tax Treaties issued by the SAT on February 3, 2018 and effective from April 1, 2018, if an applicant’s business activities do not constitute substantive business activities, it could result in the negative determination of the applicant’s status as a “beneficial owner”, and consequently, the applicant could be precluded from enjoying the above-mentioned reduced income tax rate of 5% under the Double Tax Avoidance Arrangement.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 our operations solely in Hong Kong through our Hong Kong Subsidiaries without any operation, subsidiary or VIE structure in mainland China. None of our subsidiaries directly or indirectly hold any interests in any enterprises in mainland China, and all of our revenues and profits are generated by our Hong Kong Subsidiaries in Hong Kong. After consulting our counsel as to PRC law, we do not consider the said Enterprise Income Tax Law, or the Double Tax Avoidance Arrangement, or any mainland Chinese taxation law and regulations, restrict our ability to conduct our business, accept foreign investment or impose limitations on our ability to list on any U.S. or foreign stock exchange.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Substantially all of our operations are conducted in open sea and all of our revenue, expenses, and cash are denominated in USD. As of December 31, 2025, cash of approximately $4.0 million were held by the Group, of which $3.8 million were held in Singapore. As of June 30, 2025, cash of approximately $5.6 million were held by the Group, of which $5.5 million were held in Singapore.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 holding company with no material operations of its own. We conduct operations primarily through our subsidiaries in Hong Kong. As a result, the Group’s ability to pay dividends depends upon dividends paid by our subsidiaries. Our subsidiaries in Hong Kong are permitted to pay dividends to us only out of their retained earnings, if any, as determined in accordance with the Hong Kong accounting standards and regulations.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assessing its liquidity, the Group monitors and analyzes its cash on hand, ability to generate sufficient revenue sources in the future and operating and capital expenditure commitments. As of December 31, 2025, the Group had cash of approximately $4.0 million. As of December 31, 2025 and June 30, 2025, the Group’s working capital deficit was approximately $16.2 million and $15.7 million, respectively. As of June 30, 2025, the Group had cash of approximately $5.6 million. As of June 30, 2025 and 2024, the Group’s working capital deficit was approximately $15.7 million and $30.3 million, respectively.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The Group’s primary shareholders have agreed to provide financial support commitment to the Company until October 31, 2026. As of March 31, 2026, the Company had cash and cash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equivalents amounting to approximately $3.8 million.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 that the cash requirements exceed amounts of cash on hand, it may seek to issue debt or equity securities or obtain a credit facility.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into account the ability for the Group to raise finances, the management has alleviated the substantial doubt about the Group’s ability to continue as a going concern.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summarizes the key components of our cash flows for the six months ended December 31, 2025 and 2024.</w:t>
      </w:r>
    </w:p>
    <w:tbl>
      <w:tblPr>
        <w:tblW w:w="8849" w:type="dxa"/>
        <w:jc w:val="left"/>
        <w:tblInd w:w="0" w:type="dxa"/>
        <w:tblLayout w:type="fixed"/>
        <w:tblCellMar>
          <w:top w:w="0" w:type="dxa"/>
          <w:left w:w="0" w:type="dxa"/>
          <w:bottom w:w="0" w:type="dxa"/>
          <w:right w:w="0" w:type="dxa"/>
        </w:tblCellMar>
      </w:tblPr>
      <w:tblGrid>
        <w:gridCol w:w="5056"/>
        <w:gridCol w:w="146"/>
        <w:gridCol w:w="286"/>
        <w:gridCol w:w="1201"/>
        <w:gridCol w:w="241"/>
        <w:gridCol w:w="146"/>
        <w:gridCol w:w="286"/>
        <w:gridCol w:w="1201"/>
        <w:gridCol w:w="286"/>
      </w:tblGrid>
      <w:tr>
        <w:trPr/>
        <w:tc>
          <w:tcPr>
            <w:tcW w:w="50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64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r>
      <w:tr>
        <w:trPr/>
        <w:tc>
          <w:tcPr>
            <w:tcW w:w="50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(7,212,036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3,182,157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by/(used in)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8,963,561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(546,901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(3,357,613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(1,481,971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0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(decrease)/increase in cash</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(1,606,088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1,153,285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 was approximately $7.2 million for the six months ended December 31, 2025. Cash used in operating activities for the six months ended December 31, 2025 mainly consisted of net loss of approximately $2.7 million, noncash adjustments of approximately $4.2 million, an increase of approximately $8.2 million in prepayments and other assets primarily resulted from strategic payments made for advisory and consulting services in support of management’s expansion initiatives, these prepayments are associated with non-recurring project-based arrangements and are not indicative of the ongoing operating expenditure profile of the Group, and a decrease of approximate of $1.4 million in operating lease liabilities, offset by a decrease of approximately $1.0 million in accounts receivable(including accounts receivable-related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was approximately $3.2 million for the six months ended December 31, 2024. Cash provided by operating activities for the six months ended December 31, 2024 mainly consisted of net income of approximately $0.9 million, noncash adjustments of approximately $3.6 million, a decrease of approximately $0.3 million in accounts receivable, offset by a decrease of approximate of $1.7 million in operating lease liabilities.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investing activities for the six months ended December 31, 2025 was approximately $9.0 million, mainly consisting of purchase of long-lived assets for approximately $1.3 million and receive from short-term investment for approximately $10.3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for the six months ended December 31, 2024 was approximately $0.5 million, mainly consisting of purchase of long-lived assets for approximately $0.5 million.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was approximately $3.4 million for the six months ended December 31, 2025, consisted of repayment of loan from related-party of approximately $3.0 million, financing lease-principal repayment of approximately $1.7 million, and repayment long-term loan of approximately $0.8 million, offset by proceeds from convertible note of approximately $2.0 million and proceeds from private placement of approximately $0.2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was approximately $1.5 million for the six months ended December 31, 2024, consisted of repayment of long-term loan of approximately $0.8 million, financing lease-principal repayment of approximately $1.6 million, and deferred IPO cost of approximately $0.4 million, offset by proceeds from private placement of approximately $1.4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summarizes the key components of our cash flows for the years ended June 30, 2025, 2024 and 2023.</w:t>
      </w:r>
    </w:p>
    <w:tbl>
      <w:tblPr>
        <w:tblW w:w="10205" w:type="dxa"/>
        <w:jc w:val="left"/>
        <w:tblInd w:w="0" w:type="dxa"/>
        <w:tblLayout w:type="fixed"/>
        <w:tblCellMar>
          <w:top w:w="0" w:type="dxa"/>
          <w:left w:w="0" w:type="dxa"/>
          <w:bottom w:w="0" w:type="dxa"/>
          <w:right w:w="0" w:type="dxa"/>
        </w:tblCellMar>
      </w:tblPr>
      <w:tblGrid>
        <w:gridCol w:w="4178"/>
        <w:gridCol w:w="146"/>
        <w:gridCol w:w="286"/>
        <w:gridCol w:w="1321"/>
        <w:gridCol w:w="241"/>
        <w:gridCol w:w="146"/>
        <w:gridCol w:w="286"/>
        <w:gridCol w:w="1321"/>
        <w:gridCol w:w="241"/>
        <w:gridCol w:w="146"/>
        <w:gridCol w:w="286"/>
        <w:gridCol w:w="1321"/>
        <w:gridCol w:w="286"/>
      </w:tblGrid>
      <w:tr>
        <w:trPr/>
        <w:tc>
          <w:tcPr>
            <w:tcW w:w="417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5881"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417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4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7,401,485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6,477,442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13,569,094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provided by investing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(11,253,967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10,524,341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(23,995,575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7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(used in)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5,749,310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(16,666,135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3,411,332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7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1,896,828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335,648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(7,015,149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was approximately $7.4 million for the year ended June 30, 2025, as compared to approximately $6.5 million net cash provided by operating activities for the year ended June 30, 2024. Cash provided by operating activities for the year ended June 30, 2025 mainly consisted of net income of approximately $3.1 million, noncash adjustments of approximately $7.0 million, an increase of approximately $0.8 million in accrued expenses and other liabilities, a decrease of approximately $0.7 million in accounts receivable, a decrease of approximately $0.3 million in prepayments and other assets and an increase of approximately $0.2 million in advance from customers-related party, offset by a decrease of approximately $3.2 million in operating leases payable, an increase of approximately $0.9 million in accounts receivable-related parties and a decrease of approximately $0.6 million in accounts payable.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was approximately $6.5 million for the year ended June 30, 2024, as compared to approximately $13.6 million net cash provided by operating activities for the year ended June 30, 2023. Cash provided by operating activities for the year ended June 30, 2024 mainly consisted of net income of approximately $3.1 million, noncash adjustments of approximately $7.0 million, an increase of approximately $0.3 million in accrued expenses and other liabilities, an increase of approximately $0.1 million in accounts payables, a decrease of approximately $0.1 million in due from related parties, offset by an increase of approximately $0.2 million in accounts receivable, an increase of approximately $0.2 million in prepayments and other assets, a decrease of approximately $2.9 million in operating leases payable, a decrease of approximately $0.5 million in long-term deposit, a decrease of approximately $0.2 million in due to related parties, and a decrease of approximately $0.2 million in advance from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operating activities was approximately $13.6 million for the year ended June 30, 2023, as compared to approximately $12.3 million net cash provided by operating activities for the year ended June 30, 2022. Cash provided by operating activities for the year ended June 30, 2023 mainly consisted of net income of approximately $10.9 million, noncash adjustments of approximately $6.5 million, an increase of approximately $0.1 million in accounts receivable due to increased revenue for the year ended June 30, 2023, a decrease of approximately $0.6 million in due from related parties, a decrease of approximately $0.4 million in due to related parties, and a decrease of approximately $0.1 million in accrued expenses and other liabilities and a decrease of approximately $2.8 million in operating leases payable.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for the year ended June 30, 2025 was approximately $11.3 million, mainly consisting of purchase of long-lived assets for approximately $1.1 million and short-term investment of approximately $10.2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investing activities for the year ended June 30, 2024 was approximately $10.5 million, mainly consisting of withdrawal of time deposit through a related party of approximately $12.5 million, offset by purchase of long-lived assets for approximately $0.7 million, payment for dry-docking cost for approximately $0.8 million and purchase of time deposit through a related party of approximately $0.5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investing activities for the year ended June 30, 2023 was approximately $24.0 million, mainly consisting of property purchases such as a vessel for approximately $12.0 million, purchase of time deposit through a related party of approximately $21.5 million and withdrawal of time deposit through a related party of approximately $9.5 million.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was approximately $5.7 million for the year ended June 30, 2025, mainly consisted of proceeds from initial public offering of approximately $10.6 million, proceeds from private placement of approximately $1.4 million, offset by financing lease-principal repayment of approximately $3.4 million, repayment of long-term loan from a third-party approximately $1.7 million, repayment of loan from related-party approximately $0.3 million and payment of deferred IPO cost of approximately $0.9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financing activities was approximately $16.7 million for the year ended June 30, 2024, mainly consisted of repayment of long-term loan from a third-party approximately $3.0 million, financing lease-principal repayment of approximately $3.2 million, dividends to shareholders of approximately $11.8 million, payment of deferred IPO cost of approximately $0.3 million, and offset by proceeds from private placement of approximately $1.6 million.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 was approximately $3.4 million for the year ended June 30, 2023, mainly consisted of loan received from a third-party, net of debt issuance cost approximately $9.5 million, offset by repayment of long-term loan from a third-party approximately $1.9 million, financing lease-principal repayment of approximately $3.2 million, proceeds from a related party of approximately $3.4 million, dividends to shareholders of approximately $3.9 million, and payment of loan security deposit $0.5 million.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Capital Expenditures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made capital expenditures of approximately $1.3 million and $0.5 million for the six months ended December 31, 2025 and 2024, respectively. For the years ended June 30, 2025, 2024 and 2023, our capital expenditure was approximately $1.1 million, $1.5 million and $12.0 million, respectively. Our capital expenditures were mainly used for vessel purchase and improvements.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Contractual Obligations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had an outstanding loan of $2,101,891 as of December 31, 2025. The Group has also entered into non-cancellable operating and financing lease agreements to charter-in vessels, which will expire in January 2026, September 2028 and January 2029, respectively.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contractual obligations and commercial commitments as of December 31, 2025, which are presented on an undiscounted basis:</w:t>
      </w:r>
    </w:p>
    <w:tbl>
      <w:tblPr>
        <w:tblW w:w="10205" w:type="dxa"/>
        <w:jc w:val="left"/>
        <w:tblInd w:w="0" w:type="dxa"/>
        <w:tblLayout w:type="fixed"/>
        <w:tblCellMar>
          <w:top w:w="0" w:type="dxa"/>
          <w:left w:w="0" w:type="dxa"/>
          <w:bottom w:w="0" w:type="dxa"/>
          <w:right w:w="0" w:type="dxa"/>
        </w:tblCellMar>
      </w:tblPr>
      <w:tblGrid>
        <w:gridCol w:w="2500"/>
        <w:gridCol w:w="146"/>
        <w:gridCol w:w="286"/>
        <w:gridCol w:w="1246"/>
        <w:gridCol w:w="146"/>
        <w:gridCol w:w="286"/>
        <w:gridCol w:w="1126"/>
        <w:gridCol w:w="146"/>
        <w:gridCol w:w="286"/>
        <w:gridCol w:w="1126"/>
        <w:gridCol w:w="146"/>
        <w:gridCol w:w="286"/>
        <w:gridCol w:w="1126"/>
        <w:gridCol w:w="146"/>
        <w:gridCol w:w="467"/>
        <w:gridCol w:w="740"/>
      </w:tblGrid>
      <w:tr>
        <w:trPr/>
        <w:tc>
          <w:tcPr>
            <w:tcW w:w="250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59"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 Due by Fiscal Years Ending June 30,</w:t>
            </w:r>
          </w:p>
        </w:tc>
      </w:tr>
      <w:tr>
        <w:trPr/>
        <w:tc>
          <w:tcPr>
            <w:tcW w:w="25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Less than </w:t>
              <w:br/>
              <w:t>1 Year</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 3 Years</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 – 5 Years</w:t>
            </w:r>
          </w:p>
        </w:tc>
        <w:tc>
          <w:tcPr>
            <w:tcW w:w="146" w:type="dxa"/>
            <w:tcBorders/>
            <w:vAlign w:val="bottom"/>
          </w:tcPr>
          <w:p>
            <w:pPr>
              <w:pStyle w:val="TableContents"/>
              <w:bidi w:val="0"/>
              <w:spacing w:before="0" w:after="283"/>
              <w:jc w:val="left"/>
              <w:rPr/>
            </w:pPr>
            <w:r>
              <w:rPr/>
              <w:t> </w:t>
            </w:r>
          </w:p>
        </w:tc>
        <w:tc>
          <w:tcPr>
            <w:tcW w:w="12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More than </w:t>
              <w:br/>
              <w:t>5 Years</w:t>
            </w:r>
          </w:p>
        </w:tc>
      </w:tr>
      <w:tr>
        <w:trPr/>
        <w:tc>
          <w:tcPr>
            <w:tcW w:w="25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arrangements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14,002,884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2,080,635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7,739,495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4,182,754</w:t>
            </w:r>
          </w:p>
        </w:tc>
        <w:tc>
          <w:tcPr>
            <w:tcW w:w="146"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2,129,520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828,144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1,301,376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6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16,132,404</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2,908,779</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9,040,871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4,182,754</w:t>
            </w:r>
          </w:p>
        </w:tc>
        <w:tc>
          <w:tcPr>
            <w:tcW w:w="146" w:type="dxa"/>
            <w:tcBorders/>
            <w:shd w:fill="CCEEFF" w:val="clear"/>
            <w:vAlign w:val="bottom"/>
          </w:tcPr>
          <w:p>
            <w:pPr>
              <w:pStyle w:val="TableContents"/>
              <w:bidi w:val="0"/>
              <w:spacing w:before="0" w:after="283"/>
              <w:jc w:val="left"/>
              <w:rPr/>
            </w:pPr>
            <w:r>
              <w:rPr/>
              <w:t> </w:t>
            </w:r>
          </w:p>
        </w:tc>
        <w:tc>
          <w:tcPr>
            <w:tcW w:w="46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off-balance sheet arrangements for six months ended December 31, 2025 and 2024 and for the years ended June 30, 2025, 2024 and 2023 that have or that in the opinion of management are likely to have, a current or future material effect on our financial condition or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Research and Development, Patents and Licenses, Etc.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“Item 4.D. Property, Plants, and Equipment — Intellectual Property” in the 20-F filed on October 30,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Trend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operating results or financial condition.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Inflation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Inflationary factors, such as increases in personnel and overhead costs, could impair the Company’s operating results. Although the Company does not believe that inflation has had a material impact on its financial position or results of operations to date, a high rate of inflation in the future may have an adverse effect on the Company’s ability to maintain current levels of operating expense as a percentage of sales revenue if the revenues do not increase.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Credit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that potentially subject the Group to a significant concentration of credit risk primarily consist of cash and other current assets. The maximum exposure of such assets to credit risk is their carrying amounts at the balance sheet dates. As of December 31, 2025 and June 30, 2025, the aggregate amount of cash of $3,829,158 and $5,441,407, respectively, was held at major financial institutions in Singapore. The Group believes that no significant credit risk exists as all of the Group’s cash are held with financial institutions in Singapore of high credit quality. Deposits are insured by the Singapore Deposit Insurance Corporation, for up to 100,000 Singapore Dollar (approximately $78,000) in aggregate per depositor. The Group conducts credit evaluations of its customers and suppliers, and generally does not require collateral or other security from them. The Group establishes an accounting policy to provide for allowance for credit loss based on the individual customer’s and supplier’s financial condition, credit history, and the current economic conditions.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Rate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exposure to interest rate risk primarily relates to the interest expenses on our long-term loan. Our long-term loan bears interest at variable rate. Our future interest expenses may exceed expectations due to changes in market interest rates. Increased interest rates may have a material impact on our results of operations and financial condition. Historically, we incurred total interest expense amounted to $1.2 million for the six months ended December 31, 2025 and 2024 and interest expense of $1.9 million and $2.7 million for the years ended June 30, 2025 and 2024. Increased interest rates will have a direct impact on us by increasing our interest expenses and in turn decreasing our cash. As of December 31, 2025, we had approximately total $2.1 million of long-term loan. In addition, as increased interest rates would make it more costly for us to fund our operations by borrowing, we would need to take additional measures to maintain a healthy cash flow, such as by tightening our control over accounts payable and accounts receivable. We may do so by, for example, further negotiating credit terms with customers and suppliers. As a result, our accounts receivable may decrease and our accounts payable may increase to offset the impact of higher borrowing costs.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Internal Control Over Financial Reporting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defined in the standards established by the PCAOB, a “material weakness” is a deficiency, or a combination of deficiencies, in internal control, such that there is a reasonable possibility that a material misstatement of our company’s annual or interim consolidated financial statements will not be prevented or detected on a timely basis. In connection with the audits of our consolidated financial statements included in this annual report, we and our independent registered public accounting firm identified one material weaknesses in our internal control over financial reporting as of December 31, 2025. The material weaknesses identified relate to our lack of sufficient competent financial reporting and accounting personnel with appropriate understanding of U.S. GAAP and financial reporting requirements set forth by the SEC to design and implement key controls over financial reporting process to address complex U.S. GAAP accounting issues and related disclosures, in accordance with U.S. GAAP and SEC financial reporting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our independent registered public accounting firm undertook a comprehensive assessment of our internal controls under the Sarbanes-Oxley Act for purposes of identifying and reporting any weakness in our internal controls over financial reporting. Had we performed a formal assessment of our internal controls over financial reporting or had our independent registered public accounting firm performed an audit of our internal control over financial reporting, additional material weaknesses or internal control deficiencies may have been identified.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remediate our identified material weakness, we are in the process of implementing a number of measures to improve our internal controls over financial reporting, including, among others: (a) hiring additional qualified accounting and financial personnel with appropriate knowledge and experience in U.S. GAAP and SEC reporting requirements and (b) organizing regular training for our accounting staff, especially training related to U.S. GAAP and SEC reporting requirements. We also plan to adopt additional measures to improve our internal control over financial reporting, including, among others, creating U.S. GAAP accounting policies and procedures manual, which will be maintained, reviewed and updated, on a regular basis, to the latest U.S. GAAP accounting standards, and establishing an audit committee and strengthening corporate governance. However, the implementation of these measures may not fully address these deficiencies in our internal control over financial reporting, and we cannot conclude that they have been fully remediated. Our failure to correct these deficiencies or failure to discover and address any other deficiencies could result in inaccuracies in our consolidated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Estimates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our unaudited condensed consolidated financial statements we have made estimates and assumptions that affect the reported amounts of assets and liabilities at the date of the unaudited condensed consolidated financial statements and the reported amounts of revenues and expenses during the reporting periods. Accounting estimates are deemed critical if they involve a significant level of estimation uncertainty and have had or are reasonably likely to have a material impact on our financial condition or results of operations. Significant accounting estimates required to be made by management include, but are not limited to impairment of long-lived assets, determination of incremental borrowing rate for leases, expected credit loss of receivables. A summary of our significant accounting policies which are important to the portrayal of our financial condition and results of operations is set forth in Note 2 to our unaudited condensed consolidated financial statements included in this filing.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Estimation on fair value of vessels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totaling approximately $47.9 million as of December 31, 2025 and accounting for 76% of our total assets, are our most important operating assets. We review periodically for potential impairment whenever events or changes in circumstances indicate that the carrying value may not be fully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potential impact of future events, including changes in economic conditions and operating performance, and future costs of maintenance and improvements of the assets. If management uses different assumptions or if different conditions occur in future periods, the Company’s financial condition or its future operating results could be materially impacted. The Company has evaluated its long-lived assets for impairment and determined that there was no impairment as of December 31, 2025 and June 30,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Pronouncements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list of recent relevant accounting pronouncements is included in Note 2 “Summary of Significant Accounting Policies” of our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13"/>
      <w:bookmarkEnd w:id="12"/>
      <w:r>
        <w:rPr>
          <w:rFonts w:ascii="Times New Roman PS Std;serif" w:hAnsi="Times New Roman PS Std;serif"/>
          <w:b/>
          <w:i w:val="false"/>
          <w:caps w:val="false"/>
          <w:smallCaps w:val="false"/>
          <w:sz w:val="20"/>
        </w:rPr>
        <w:t xml:space="preserve">BUSINESS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Mission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aim to leave green footprints across the oceans through our maritime shipping and seaborne pulping operation.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Corporate History and Structure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 Cayman exempted company formed on July 4, 2023. On March 27, 2024, Intercont completed a reorganization of its corporate structure. Intercont owns a 100% equity interest in each of Fortune Ocean Holdings Limited, a British Virgin Islands holding company formed on January 22, 2024 (“Fortune Ocean” or the “BVI Subsidiary”), and Singapore Openwindow Technology Pte. Ltd., a Singapore private company limited by shares formed on July 28, 2023 (“Openwindow” or the “Singapore Subsidiary”).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14, 2024, Fortune Ocean became the 100% owner of Top Wisdom Shipping Management Co., Limited, a Hong Kong company formed on February 1, 2013 (“Top Wisdom”), Top Creation International (HK) Limited, a Hong Kong company formed on July 29, 2011 (“Top Creation”), Top Moral Shipping Limited, a Hong Kong company formed on December 12, 2013 (“Top Moral”), Top Legend Shipping Co., Limited, a Hong Kong company formed on March 6, 2013 (“Top Legend”), and Max Bright Marine Service Co., Limited, a Hong Kong company formed on April 2, 2014 (“Max Bright,” and together with Top Wisdom, Top Creation, Top Moral, and Top Legend, the “Shipping Subsidiaries” or the “Hong Kong Subsidiaries”).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conducted its international maritime shipping business through the Shipping Subsidiaries since 2011. Openwindow plans to launch its seaborne pulping business in an orderly manner at an appropriate time once external economic and political conditions stabilize.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Closing of IPO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2025, Intercont closed its initial public offering (“IPO”) of 1,500,000 Ordinary Shares. Intercont completed the IPO pursuant to its registration statement on Form F-1 (File No. 333-282394), which was initially filed with the U.S. Securities and Exchange Commission (the “SEC”) on September 27, 2024, as amended, and declared effective by the SEC on March 27, 2025. The Ordinary Shares were priced at $7.00 per share, and the offering was conducted on a firm commitment basis. The Ordinary Shares were previously approved for listing on The Nasdaq Capital Market and commenced trading under the ticker symbol “NCT” on March 28,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Over-allotment Option Exercise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7, 2025, Kingswood Capital Partners, LLC., as the representative of the underwriters (the “Representative”) of the initial public offering of Intercont (Cayman) Limited (the “Company”), exercised its over-allotment option in part to purchase an additional 175,000 ordinary shares par value US$0.0001 per share (the “Ordinary Shares”) of the Company at the public offering price of $7.00 per share (the “Offering Price”), before deducting underwriting discounts (the “Option”). The Option was granted to the Representative pursuant to the underwriting agreement entered into by and between the Company and the Representative on March 27, 2025 (the “Underwriting Agreement”) relating to the Company’s IPO. The closing for the sale of the over-allotment shares took place on April 7, 2025 (the “Option Closing”).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January 2026 Extraordinary General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26, 2026, the Company held its extraordinary shareholder general meeting (the “Meeting”). At the Meeting, the shareholders of the Company adopted the following resolutions: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(ii)    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 on any resolution of shareholders whereas each Class A Ordinary Share shall only have one (1) vote. Each outstanding Class B Ordinary Share is convertible at any time after issuance at the option of the holder into one (1) Class A Ordinary Share. The Class A Shares will not be convertible into shares of any other class.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shares(equivalent to 38,780,628 shares on a post-consolidation basis) as Class A Shares.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Reverse Stock Split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and 206,598 Class B Shares after share consolidation), with the par value per share increasing from US$0.0001 to US$0.0025 (with any fractional entitlements to be round up to the next whole share). The share consolidation was accounted for on a retroactive basis pursuant to Accounting Standards Codification Topic 260.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ordinary shares and per share data for all periods in this filing have been retroactively restated accordingly.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June 2026 Extraordinary General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12, 2026, The board of directors of Intercont passed board resolutions that the Company will hold a meeting of the holders of Class A Ordinary Shares (the “Class A Meeting”) on Friday, June 5, 2026 at 9:00 a.m. (Eastern Time), and an extraordinary general meeting of its shareholders (the “EGM”) immediately following the Class A Meeting, to seek approval for: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Class A Meeting: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increase the authorized share capital of the Company (the “Authorised Share Capital”) to US$250,000,000.00 divided into 100,000,000,000 ordinary shares of par value of US$0.0025 each (each an “Ordinary Share”), comprising (A) 80,000,000,000 Class A Shares of a par value of US$0.0025 each (each a “Class A Share”); and (B) 20,000,000,000 Class B Shares of a par value of US$0.0025 each (each a “Class B Share”) (the “Increase of Share Capital”), by redesignation of:</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newly increased and unissued 79,960,206,598.04 Ordinary Shares be redesignated as Class A Shares;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newly increased and unissued 19,999,793,401.96 Ordinary Shares be redesignated into Class B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EGM:</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increase the authorized share capital of the Company (the “Authorised Share Capital”) to US$250,000,000.00 divided into 100,000,000,000 ordinary shares of par value of US$0.0025 each (each an “Ordinary Share”), comprising of (A) 80,000,000,000 Class A Shares of a par value of US$0.0025 each (each a “Class A Share”); and (B) 20,000,000,000 Class B Shares of a par value of US$0.0025 each (each a “Class B Share”) (the “Increase of Share Capital”), by redesignation of:</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newly increased and unissued 79,960,206,598.04 Ordinary Shares be redesignated as Class A Shares;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newly increased and unissued 19,999,793,401.96 Ordinary Shares be redesignated into Class B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following the Increase of Share Capital, to change Class B Share Voting Right from thirty (30) votes per one Class B Share to one hundred (100) votes per one Class B Share on all matters subject to the votes at general meetings of the Company (the “Change of Voting Right of Class B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subject to and conditional upon approval by the shareholders of Proposal No. 1, and Proposal No. 2 and all requisite class consents being obtained, to adopt the third amended and restated articles of association of the Company (the “AR M&amp;A”) in replacement of the second amended and restated memorandum and articles of association as adopted on January 26, 2026 (the “Existing Articles”) to reflect the Increase of Share Capital, the Change of Voting Right of Class B Shares and other clarification changes.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following the Increase of Share Capital, to effect a reverse share split to the Company’s authorised issued and unissued Class A Shares by way of a consolidation (the “Share Consolidation”) at an exchange ratio which is no less than one-for-two (1:2) and no greater than one-for-one thousand (1:1000) (the “Further Revised RS Ratio”) such that the number of authorised issued and unissued Class A is decreased by the Further Revised RS Ratio and the par value of each authorised, issued and outstanding Class A is increased by the Further Revised RS Ratio (together, the “Further Revised Reverse Share Split”), with such Further Revised Reverse Share Split to be effected at such time and date, if at all, and at a precise Further Revised RS Ratio up to a maximum of one-for-one thousand (1:1000), in each case, as determined by the Directors at their discretion within a period of five years of obtaining the requisite shareholder approval for the Further Revised Reverse Share Split (the “Further Revised Effective Time”).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    in respect of any fractional entitlements to the issued consolidated shares resulting from the Further Revised Reverse Share Split, if so determined by the Directors in their sole discretion, the Directors be and are hereby authorised to settle as they consider expedient any difficulty which arises in relation to the Share Consolidation, including but without prejudice to the generality of the foregoing capitalising all or any part of any amount for the time being standing to the credit of any reserve or fund of the Company (including its share premium account and profit and loss account, to the extent as permitted by the applicable laws) whether or not the same is available for distribution and applying such sum in paying up unissued Class A Shares to be issued to shareholders of the Company to round up any fractions of Class A Shares issued to or registered in the name of such shareholders of the Company following or as a result of the Share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Class A Meeting and EGM will be held at Company’s office 12th Floor, Building 1, 16 Bailongjiang East Street, Jianye District, Nanjing City, Jiangsu Province, China. If approved, the change in the Company’s share capital and change of voting rights of Class B Ordinary Shares will become effective immediately upon approval by the Company’s shareholders.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Corporate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Intercont’ Ordinary Shares are traded on Nasdaq under the same ticker symbol “NCT”. Our registered office in the Cayman Islands is located at the offices of ICS Corporate Services (Cayman) Limited, Palm Grove Unit 4, 265 Smith Road, George Town, P.O. Box 52A Edgewater Way, #1653, Grand Cayman KY1-9006, Cayman Islands. Our agent for service of process in the United States is Cogency Global Inc., 122 East 42nd Street, 18th Floor, New York, New York 1001. Our principal executive offices are located at 39 Ocean Drive Singapore. We can be reached by telephone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+65 88182399 and our website is </w:t>
      </w:r>
      <w:r>
        <w:rPr>
          <w:rFonts w:ascii="Times New Roman PS Std;serif" w:hAnsi="Times New Roman PS Std;serif"/>
          <w:b w:val="false"/>
          <w:i/>
          <w:caps w:val="false"/>
          <w:smallCaps w:val="false"/>
          <w:sz w:val="20"/>
        </w:rPr>
        <w:t>https://www.intercontcayman.com</w:t>
      </w:r>
      <w:r>
        <w:rPr>
          <w:rFonts w:ascii="Times New Roman PS Std;serif" w:hAnsi="Times New Roman PS Std;serif"/>
          <w:b w:val="false"/>
          <w:i w:val="false"/>
          <w:caps w:val="false"/>
          <w:smallCaps w:val="false"/>
          <w:sz w:val="20"/>
        </w:rPr>
        <w:t>. The Securities and Exchange Commission (SEC) maintains an Internet site at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that contains reports, proxy and information statements, and other information regarding issuers that file electronically with the SEC.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diagram illustrates our corporate structure as of the date of this prospectus.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53100" cy="221551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53100" cy="2215515"/>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operates its global maritime shipping services through its Shipping Subsidiaries. The Group’s global maritime shipping business consists of two revenue streams, time chartering and vessel management services. The Group’s global maritime shipping business generated US$25.1 million, US$25.5 million, US$32.4 million, US$12.6 million and US$13.4 million revenue in the fiscal years ended June 30, 2025, 2024 and 2023 and the six months ended December 31, 2025 and 2024, respectively, which constitute 100% of the Group’s revenue in the past three fiscal years.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plans to operate its seaborne pulping business through Openwindow and build its seaborne pulping business upon its long-established global maritime shipping operations. Via a combination of self-owned factory ships and partnership with other shipowners for leased-in factory ships, the Group plans to launch its seaborne pulping business in an orderly manner at an appropriate time once external economic and political conditions stabilize.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Global Maritime Shipping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operate our global maritime shipping services through our Shipping Subsidiaries in Hong Kong. Currently, the Group derives all of its revenue from its global maritime shipping business, where it expects to see steady growth. The Group’s global maritime shipping business generated revenues of US$12.6 million and US$13.4 million in the six months ended 2025 and 2024, respectively. The Group’s global maritime shipping business generated revenues of US$25.1 million, US$25.5 million and US$32.4 million in the fiscal years ended June 30, 2025, 2024 and 2023, respectively. For the six months ended 2025 and 2024, our net loss(income) was US$2.7 million and US$0.9 million, respectively. For the fiscal years 2025, 2024 and 2023, our net income was US$3.1 million, US$3.1 million and US$10.9 million, respectively. Specifically, our shipping business consists of two segments, time chartering and vessel management services.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Time Chartering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 owns a vessel and leases it to charterers. Top Creation leased a vessel from Zhejiang Shipping (Hongkong) Co. Ltd., the lease of which expired in January 2026. Top Creation does not intend to renew such lease upon expiration. Each of Top Legend and Max Bright leases a vessel from a related party of the Group. Each of Top Creation, Top Legend, and Max Bright in turn charters the leased vessels to other short time charterers. Each of Top Moral, Top Creation, Top Legend, and Max Bright derives its revenue from the chartering businesses. The charterers use these vessels as bulk carriers, transporting iron ore, coal, grain, and other goods. The total cargo carrying capacity of our fleet is 153,823 dwt (excluding the vessel leased by Top Creation).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Shipping Subsidiaries deploy our fleet either on time charter trips or spot voyages of short-term duration. In the long run, our fleet could potentially be employed on a mix of period charters, including time charters which can last up to several years, and spot market charters, which generally last from one to six months, and in pools, according to our assessment of then market conditions. Currently, our bulk vessels are employed under time charters usually lasting one (1) to twenty-four (24) months.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Vessel Management Services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Wisdom derives its revenue from vessel management services. These services include hiring crew, obtaining insurance policies, conducting safety inspection, and providing technology support for the clients’ vessels and voyages. Top Wisdom charges a certain amount of money from its client and uses such money to pay for the crew and other costs. The surplus after paying out the costs constitutes Top Wisdom’s profit.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Most of the vessel service agreements have a term longer than one year and are typically billed on a monthly basis. Currently, Top Wisdom provides management service for eight (8) vessels, including the vessels of Top Moral, Top Creation, Top Legend, and Max Bright. For the six months ended 2025 and 2024, Top Wisdom derived approximately 57.64% and 58.07% of its revenue from affiliated entities, respectively. For the fiscal years 2025, 2024 and 2023, Top Wisdom derived approximately 69.79%, 68.21% and 89.68% of its revenue from affiliated entities, respectively.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Our Fleet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the profile and deployment of the Shipping Subsidiaries’ fleet is as the following:</w:t>
      </w:r>
    </w:p>
    <w:tbl>
      <w:tblPr>
        <w:tblW w:w="12329" w:type="dxa"/>
        <w:jc w:val="left"/>
        <w:tblInd w:w="0" w:type="dxa"/>
        <w:tblLayout w:type="fixed"/>
        <w:tblCellMar>
          <w:top w:w="0" w:type="dxa"/>
          <w:left w:w="0" w:type="dxa"/>
          <w:bottom w:w="0" w:type="dxa"/>
          <w:right w:w="0" w:type="dxa"/>
        </w:tblCellMar>
      </w:tblPr>
      <w:tblGrid>
        <w:gridCol w:w="836"/>
        <w:gridCol w:w="146"/>
        <w:gridCol w:w="1246"/>
        <w:gridCol w:w="146"/>
        <w:gridCol w:w="1156"/>
        <w:gridCol w:w="146"/>
        <w:gridCol w:w="646"/>
        <w:gridCol w:w="146"/>
        <w:gridCol w:w="991"/>
        <w:gridCol w:w="146"/>
        <w:gridCol w:w="1111"/>
        <w:gridCol w:w="146"/>
        <w:gridCol w:w="871"/>
        <w:gridCol w:w="146"/>
        <w:gridCol w:w="1051"/>
        <w:gridCol w:w="146"/>
        <w:gridCol w:w="1531"/>
        <w:gridCol w:w="146"/>
        <w:gridCol w:w="1576"/>
      </w:tblGrid>
      <w:tr>
        <w:trPr/>
        <w:tc>
          <w:tcPr>
            <w:tcW w:w="8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Owner/ </w:t>
              <w:br/>
              <w:t>Sublessor</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Charterer</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w:t>
              <w:br/>
              <w:t>Built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Country </w:t>
              <w:br/>
              <w:t>Built</w:t>
            </w:r>
          </w:p>
        </w:tc>
        <w:tc>
          <w:tcPr>
            <w:tcW w:w="146" w:type="dxa"/>
            <w:tcBorders/>
            <w:vAlign w:val="bottom"/>
          </w:tcPr>
          <w:p>
            <w:pPr>
              <w:pStyle w:val="TableContents"/>
              <w:bidi w:val="0"/>
              <w:spacing w:before="0" w:after="283"/>
              <w:jc w:val="left"/>
              <w:rPr/>
            </w:pPr>
            <w:r>
              <w:rPr/>
              <w:t> </w:t>
            </w:r>
          </w:p>
        </w:tc>
        <w:tc>
          <w:tcPr>
            <w:tcW w:w="11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Vessel </w:t>
              <w:br/>
              <w:t>Size (dwt)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Vessel </w:t>
              <w:br/>
              <w:t>Type</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Status</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Charter Rate</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Expiration of </w:t>
              <w:br/>
              <w:t>Charter</w:t>
            </w:r>
          </w:p>
        </w:tc>
      </w:tr>
      <w:tr>
        <w:trPr/>
        <w:tc>
          <w:tcPr>
            <w:tcW w:w="12329" w:type="dxa"/>
            <w:gridSpan w:val="19"/>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Self-Owned Vessel</w:t>
            </w:r>
          </w:p>
        </w:tc>
      </w:tr>
      <w:tr>
        <w:trPr/>
        <w:tc>
          <w:tcPr>
            <w:tcW w:w="83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Brilliance</w:t>
            </w:r>
          </w:p>
        </w:tc>
        <w:tc>
          <w:tcPr>
            <w:tcW w:w="146" w:type="dxa"/>
            <w:tcBorders/>
          </w:tcPr>
          <w:p>
            <w:pPr>
              <w:pStyle w:val="TableContents"/>
              <w:bidi w:val="0"/>
              <w:spacing w:before="0" w:after="283"/>
              <w:jc w:val="left"/>
              <w:rPr/>
            </w:pPr>
            <w:r>
              <w:rPr/>
              <w:t> </w:t>
            </w:r>
          </w:p>
        </w:tc>
        <w:tc>
          <w:tcPr>
            <w:tcW w:w="124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146" w:type="dxa"/>
            <w:tcBorders/>
          </w:tcPr>
          <w:p>
            <w:pPr>
              <w:pStyle w:val="TableContents"/>
              <w:bidi w:val="0"/>
              <w:spacing w:before="0" w:after="283"/>
              <w:jc w:val="left"/>
              <w:rPr/>
            </w:pPr>
            <w:r>
              <w:rPr/>
              <w:t> </w:t>
            </w:r>
          </w:p>
        </w:tc>
        <w:tc>
          <w:tcPr>
            <w:tcW w:w="64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2008</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w:t>
            </w:r>
          </w:p>
        </w:tc>
        <w:tc>
          <w:tcPr>
            <w:tcW w:w="146" w:type="dxa"/>
            <w:tcBorders/>
          </w:tcPr>
          <w:p>
            <w:pPr>
              <w:pStyle w:val="TableContents"/>
              <w:bidi w:val="0"/>
              <w:spacing w:before="0" w:after="283"/>
              <w:jc w:val="left"/>
              <w:rPr/>
            </w:pPr>
            <w:r>
              <w:rPr/>
              <w:t> </w:t>
            </w:r>
          </w:p>
        </w:tc>
        <w:tc>
          <w:tcPr>
            <w:tcW w:w="1111" w:type="dxa"/>
            <w:tcBorders/>
          </w:tcPr>
          <w:p>
            <w:pPr>
              <w:pStyle w:val="TableContents"/>
              <w:keepNext w:val="false"/>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56,823</w:t>
            </w:r>
          </w:p>
        </w:tc>
        <w:tc>
          <w:tcPr>
            <w:tcW w:w="146" w:type="dxa"/>
            <w:tcBorders/>
          </w:tcPr>
          <w:p>
            <w:pPr>
              <w:pStyle w:val="TableContents"/>
              <w:bidi w:val="0"/>
              <w:spacing w:before="0" w:after="283"/>
              <w:jc w:val="left"/>
              <w:rPr/>
            </w:pPr>
            <w:r>
              <w:rPr/>
              <w:t> </w:t>
            </w:r>
          </w:p>
        </w:tc>
        <w:tc>
          <w:tcPr>
            <w:tcW w:w="87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Bulk Carrier</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w:t>
            </w:r>
          </w:p>
        </w:tc>
        <w:tc>
          <w:tcPr>
            <w:tcW w:w="146" w:type="dxa"/>
            <w:tcBorders/>
          </w:tcPr>
          <w:p>
            <w:pPr>
              <w:pStyle w:val="TableContents"/>
              <w:bidi w:val="0"/>
              <w:spacing w:before="0" w:after="283"/>
              <w:jc w:val="left"/>
              <w:rPr/>
            </w:pPr>
            <w:r>
              <w:rPr/>
              <w:t> </w:t>
            </w:r>
          </w:p>
        </w:tc>
        <w:tc>
          <w:tcPr>
            <w:tcW w:w="153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depending on the market</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r>
      <w:tr>
        <w:trPr/>
        <w:tc>
          <w:tcPr>
            <w:tcW w:w="12329" w:type="dxa"/>
            <w:gridSpan w:val="19"/>
            <w:tcBorders/>
            <w:shd w:fill="CCEEFF" w:val="clea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Leased Vessels</w:t>
            </w:r>
          </w:p>
        </w:tc>
      </w:tr>
      <w:tr>
        <w:trPr/>
        <w:tc>
          <w:tcPr>
            <w:tcW w:w="83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Advancer</w:t>
            </w:r>
          </w:p>
        </w:tc>
        <w:tc>
          <w:tcPr>
            <w:tcW w:w="146" w:type="dxa"/>
            <w:tcBorders/>
          </w:tcPr>
          <w:p>
            <w:pPr>
              <w:pStyle w:val="TableContents"/>
              <w:bidi w:val="0"/>
              <w:spacing w:before="0" w:after="283"/>
              <w:jc w:val="left"/>
              <w:rPr/>
            </w:pPr>
            <w:r>
              <w:rPr/>
              <w:t> </w:t>
            </w:r>
          </w:p>
        </w:tc>
        <w:tc>
          <w:tcPr>
            <w:tcW w:w="124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Zhejiang Shipping (Hongkong) Co. Ltd.</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Creation</w:t>
            </w:r>
          </w:p>
        </w:tc>
        <w:tc>
          <w:tcPr>
            <w:tcW w:w="146" w:type="dxa"/>
            <w:tcBorders/>
          </w:tcPr>
          <w:p>
            <w:pPr>
              <w:pStyle w:val="TableContents"/>
              <w:bidi w:val="0"/>
              <w:spacing w:before="0" w:after="283"/>
              <w:jc w:val="left"/>
              <w:rPr/>
            </w:pPr>
            <w:r>
              <w:rPr/>
              <w:t> </w:t>
            </w:r>
          </w:p>
        </w:tc>
        <w:tc>
          <w:tcPr>
            <w:tcW w:w="64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2016</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w:t>
            </w:r>
          </w:p>
        </w:tc>
        <w:tc>
          <w:tcPr>
            <w:tcW w:w="146" w:type="dxa"/>
            <w:tcBorders/>
          </w:tcPr>
          <w:p>
            <w:pPr>
              <w:pStyle w:val="TableContents"/>
              <w:bidi w:val="0"/>
              <w:spacing w:before="0" w:after="283"/>
              <w:jc w:val="left"/>
              <w:rPr/>
            </w:pPr>
            <w:r>
              <w:rPr/>
              <w:t> </w:t>
            </w:r>
          </w:p>
        </w:tc>
        <w:tc>
          <w:tcPr>
            <w:tcW w:w="1111" w:type="dxa"/>
            <w:tcBorders/>
          </w:tcPr>
          <w:p>
            <w:pPr>
              <w:pStyle w:val="TableContents"/>
              <w:keepNext w:val="false"/>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63,368</w:t>
            </w:r>
          </w:p>
        </w:tc>
        <w:tc>
          <w:tcPr>
            <w:tcW w:w="146" w:type="dxa"/>
            <w:tcBorders/>
          </w:tcPr>
          <w:p>
            <w:pPr>
              <w:pStyle w:val="TableContents"/>
              <w:bidi w:val="0"/>
              <w:spacing w:before="0" w:after="283"/>
              <w:jc w:val="left"/>
              <w:rPr/>
            </w:pPr>
            <w:r>
              <w:rPr/>
              <w:t> </w:t>
            </w:r>
          </w:p>
        </w:tc>
        <w:tc>
          <w:tcPr>
            <w:tcW w:w="87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Bulk Carrier</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Leased-in on a bareboat basis(3)</w:t>
            </w:r>
          </w:p>
        </w:tc>
        <w:tc>
          <w:tcPr>
            <w:tcW w:w="146" w:type="dxa"/>
            <w:tcBorders/>
          </w:tcPr>
          <w:p>
            <w:pPr>
              <w:pStyle w:val="TableContents"/>
              <w:bidi w:val="0"/>
              <w:spacing w:before="0" w:after="283"/>
              <w:jc w:val="left"/>
              <w:rPr/>
            </w:pPr>
            <w:r>
              <w:rPr/>
              <w:t> </w:t>
            </w:r>
          </w:p>
        </w:tc>
        <w:tc>
          <w:tcPr>
            <w:tcW w:w="153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monthly rate calculated based on the BSI 58 10 TC published by the Baltic Exchange, as set forth in the charger agreement.</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16, 2026</w:t>
            </w:r>
          </w:p>
        </w:tc>
      </w:tr>
      <w:tr>
        <w:trPr/>
        <w:tc>
          <w:tcPr>
            <w:tcW w:w="836" w:type="dxa"/>
            <w:tcBorders/>
            <w:shd w:fill="CCEEFF" w:val="clear"/>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Diligence</w:t>
            </w:r>
          </w:p>
        </w:tc>
        <w:tc>
          <w:tcPr>
            <w:tcW w:w="146" w:type="dxa"/>
            <w:tcBorders/>
            <w:shd w:fill="CCEEFF" w:val="clear"/>
          </w:tcPr>
          <w:p>
            <w:pPr>
              <w:pStyle w:val="TableContents"/>
              <w:bidi w:val="0"/>
              <w:spacing w:before="0" w:after="283"/>
              <w:jc w:val="left"/>
              <w:rPr/>
            </w:pPr>
            <w:r>
              <w:rPr/>
              <w:t> </w:t>
            </w:r>
          </w:p>
        </w:tc>
        <w:tc>
          <w:tcPr>
            <w:tcW w:w="1246" w:type="dxa"/>
            <w:tcBorders/>
            <w:shd w:fill="CCEEFF" w:val="clea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w:t>
            </w:r>
          </w:p>
        </w:tc>
        <w:tc>
          <w:tcPr>
            <w:tcW w:w="146" w:type="dxa"/>
            <w:tcBorders/>
            <w:shd w:fill="CCEEFF" w:val="clear"/>
          </w:tcPr>
          <w:p>
            <w:pPr>
              <w:pStyle w:val="TableContents"/>
              <w:bidi w:val="0"/>
              <w:spacing w:before="0" w:after="283"/>
              <w:jc w:val="left"/>
              <w:rPr/>
            </w:pPr>
            <w:r>
              <w:rPr/>
              <w:t> </w:t>
            </w:r>
          </w:p>
        </w:tc>
        <w:tc>
          <w:tcPr>
            <w:tcW w:w="1156" w:type="dxa"/>
            <w:tcBorders/>
            <w:shd w:fill="CCEEFF" w:val="clea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 Bright</w:t>
            </w:r>
          </w:p>
        </w:tc>
        <w:tc>
          <w:tcPr>
            <w:tcW w:w="146" w:type="dxa"/>
            <w:tcBorders/>
            <w:shd w:fill="CCEEFF" w:val="clear"/>
          </w:tcPr>
          <w:p>
            <w:pPr>
              <w:pStyle w:val="TableContents"/>
              <w:bidi w:val="0"/>
              <w:spacing w:before="0" w:after="283"/>
              <w:jc w:val="left"/>
              <w:rPr/>
            </w:pPr>
            <w:r>
              <w:rPr/>
              <w:t> </w:t>
            </w:r>
          </w:p>
        </w:tc>
        <w:tc>
          <w:tcPr>
            <w:tcW w:w="646"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w:t>
            </w:r>
          </w:p>
        </w:tc>
        <w:tc>
          <w:tcPr>
            <w:tcW w:w="146" w:type="dxa"/>
            <w:tcBorders/>
            <w:shd w:fill="CCEEFF" w:val="clear"/>
          </w:tcPr>
          <w:p>
            <w:pPr>
              <w:pStyle w:val="TableContents"/>
              <w:bidi w:val="0"/>
              <w:spacing w:before="0" w:after="283"/>
              <w:jc w:val="left"/>
              <w:rPr/>
            </w:pPr>
            <w:r>
              <w:rPr/>
              <w:t> </w:t>
            </w:r>
          </w:p>
        </w:tc>
        <w:tc>
          <w:tcPr>
            <w:tcW w:w="991"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w:t>
            </w:r>
          </w:p>
        </w:tc>
        <w:tc>
          <w:tcPr>
            <w:tcW w:w="146" w:type="dxa"/>
            <w:tcBorders/>
            <w:shd w:fill="CCEEFF" w:val="clear"/>
          </w:tcPr>
          <w:p>
            <w:pPr>
              <w:pStyle w:val="TableContents"/>
              <w:bidi w:val="0"/>
              <w:spacing w:before="0" w:after="283"/>
              <w:jc w:val="left"/>
              <w:rPr/>
            </w:pPr>
            <w:r>
              <w:rPr/>
              <w:t> </w:t>
            </w:r>
          </w:p>
        </w:tc>
        <w:tc>
          <w:tcPr>
            <w:tcW w:w="1111" w:type="dxa"/>
            <w:tcBorders/>
            <w:shd w:fill="CCEEFF" w:val="clear"/>
          </w:tcPr>
          <w:p>
            <w:pPr>
              <w:pStyle w:val="TableContents"/>
              <w:keepNext w:val="false"/>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48,500</w:t>
            </w:r>
          </w:p>
        </w:tc>
        <w:tc>
          <w:tcPr>
            <w:tcW w:w="146" w:type="dxa"/>
            <w:tcBorders/>
            <w:shd w:fill="CCEEFF" w:val="clear"/>
          </w:tcPr>
          <w:p>
            <w:pPr>
              <w:pStyle w:val="TableContents"/>
              <w:bidi w:val="0"/>
              <w:spacing w:before="0" w:after="283"/>
              <w:jc w:val="left"/>
              <w:rPr/>
            </w:pPr>
            <w:r>
              <w:rPr/>
              <w:t> </w:t>
            </w:r>
          </w:p>
        </w:tc>
        <w:tc>
          <w:tcPr>
            <w:tcW w:w="871" w:type="dxa"/>
            <w:tcBorders/>
            <w:shd w:fill="CCEEFF" w:val="clea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Cargo Ship</w:t>
            </w:r>
          </w:p>
        </w:tc>
        <w:tc>
          <w:tcPr>
            <w:tcW w:w="146" w:type="dxa"/>
            <w:tcBorders/>
            <w:shd w:fill="CCEEFF" w:val="clear"/>
          </w:tcPr>
          <w:p>
            <w:pPr>
              <w:pStyle w:val="TableContents"/>
              <w:bidi w:val="0"/>
              <w:spacing w:before="0" w:after="283"/>
              <w:jc w:val="left"/>
              <w:rPr/>
            </w:pPr>
            <w:r>
              <w:rPr/>
              <w:t> </w:t>
            </w:r>
          </w:p>
        </w:tc>
        <w:tc>
          <w:tcPr>
            <w:tcW w:w="1051" w:type="dxa"/>
            <w:tcBorders/>
            <w:shd w:fill="CCEEFF" w:val="clea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Leased-in on a bareboat basis(1)</w:t>
            </w:r>
          </w:p>
        </w:tc>
        <w:tc>
          <w:tcPr>
            <w:tcW w:w="146" w:type="dxa"/>
            <w:tcBorders/>
            <w:shd w:fill="CCEEFF" w:val="clear"/>
          </w:tcPr>
          <w:p>
            <w:pPr>
              <w:pStyle w:val="TableContents"/>
              <w:bidi w:val="0"/>
              <w:spacing w:before="0" w:after="283"/>
              <w:jc w:val="left"/>
              <w:rPr/>
            </w:pPr>
            <w:r>
              <w:rPr/>
              <w:t> </w:t>
            </w:r>
          </w:p>
        </w:tc>
        <w:tc>
          <w:tcPr>
            <w:tcW w:w="1531" w:type="dxa"/>
            <w:tcBorders/>
            <w:shd w:fill="CCEEFF" w:val="clear"/>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monthly rate equal to the sum of US$147,583.33, a floating rate of interest, and an administrative fee, each as set forth in the charter agreement.</w:t>
            </w:r>
          </w:p>
        </w:tc>
        <w:tc>
          <w:tcPr>
            <w:tcW w:w="146" w:type="dxa"/>
            <w:tcBorders/>
            <w:shd w:fill="CCEEFF" w:val="clear"/>
          </w:tcPr>
          <w:p>
            <w:pPr>
              <w:pStyle w:val="TableContents"/>
              <w:bidi w:val="0"/>
              <w:spacing w:before="0" w:after="283"/>
              <w:jc w:val="left"/>
              <w:rPr/>
            </w:pPr>
            <w:r>
              <w:rPr/>
              <w:t> </w:t>
            </w:r>
          </w:p>
        </w:tc>
        <w:tc>
          <w:tcPr>
            <w:tcW w:w="1576" w:type="dxa"/>
            <w:tcBorders/>
            <w:shd w:fill="CCEEFF" w:val="clear"/>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17, 2028</w:t>
            </w:r>
          </w:p>
        </w:tc>
      </w:tr>
      <w:tr>
        <w:trPr/>
        <w:tc>
          <w:tcPr>
            <w:tcW w:w="836"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Elegance</w:t>
            </w:r>
          </w:p>
        </w:tc>
        <w:tc>
          <w:tcPr>
            <w:tcW w:w="146" w:type="dxa"/>
            <w:tcBorders/>
          </w:tcPr>
          <w:p>
            <w:pPr>
              <w:pStyle w:val="TableContents"/>
              <w:bidi w:val="0"/>
              <w:spacing w:before="0" w:after="283"/>
              <w:jc w:val="left"/>
              <w:rPr/>
            </w:pPr>
            <w:r>
              <w:rPr/>
              <w:t> </w:t>
            </w:r>
          </w:p>
        </w:tc>
        <w:tc>
          <w:tcPr>
            <w:tcW w:w="124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w:t>
            </w:r>
          </w:p>
        </w:tc>
        <w:tc>
          <w:tcPr>
            <w:tcW w:w="146" w:type="dxa"/>
            <w:tcBorders/>
          </w:tcPr>
          <w:p>
            <w:pPr>
              <w:pStyle w:val="TableContents"/>
              <w:bidi w:val="0"/>
              <w:spacing w:before="0" w:after="283"/>
              <w:jc w:val="left"/>
              <w:rPr/>
            </w:pPr>
            <w:r>
              <w:rPr/>
              <w:t> </w:t>
            </w:r>
          </w:p>
        </w:tc>
        <w:tc>
          <w:tcPr>
            <w:tcW w:w="115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Legend</w:t>
            </w:r>
          </w:p>
        </w:tc>
        <w:tc>
          <w:tcPr>
            <w:tcW w:w="146" w:type="dxa"/>
            <w:tcBorders/>
          </w:tcPr>
          <w:p>
            <w:pPr>
              <w:pStyle w:val="TableContents"/>
              <w:bidi w:val="0"/>
              <w:spacing w:before="0" w:after="283"/>
              <w:jc w:val="left"/>
              <w:rPr/>
            </w:pPr>
            <w:r>
              <w:rPr/>
              <w:t> </w:t>
            </w:r>
          </w:p>
        </w:tc>
        <w:tc>
          <w:tcPr>
            <w:tcW w:w="64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2018</w:t>
            </w:r>
          </w:p>
        </w:tc>
        <w:tc>
          <w:tcPr>
            <w:tcW w:w="146" w:type="dxa"/>
            <w:tcBorders/>
          </w:tcPr>
          <w:p>
            <w:pPr>
              <w:pStyle w:val="TableContents"/>
              <w:bidi w:val="0"/>
              <w:spacing w:before="0" w:after="283"/>
              <w:jc w:val="left"/>
              <w:rPr/>
            </w:pPr>
            <w:r>
              <w:rPr/>
              <w:t> </w:t>
            </w:r>
          </w:p>
        </w:tc>
        <w:tc>
          <w:tcPr>
            <w:tcW w:w="99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China</w:t>
            </w:r>
          </w:p>
        </w:tc>
        <w:tc>
          <w:tcPr>
            <w:tcW w:w="146" w:type="dxa"/>
            <w:tcBorders/>
          </w:tcPr>
          <w:p>
            <w:pPr>
              <w:pStyle w:val="TableContents"/>
              <w:bidi w:val="0"/>
              <w:spacing w:before="0" w:after="283"/>
              <w:jc w:val="left"/>
              <w:rPr/>
            </w:pPr>
            <w:r>
              <w:rPr/>
              <w:t> </w:t>
            </w:r>
          </w:p>
        </w:tc>
        <w:tc>
          <w:tcPr>
            <w:tcW w:w="1111" w:type="dxa"/>
            <w:tcBorders/>
          </w:tcPr>
          <w:p>
            <w:pPr>
              <w:pStyle w:val="TableContents"/>
              <w:keepNext w:val="false"/>
              <w:widowControl/>
              <w:pBdr/>
              <w:bidi w:val="0"/>
              <w:spacing w:before="16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48,500</w:t>
            </w:r>
          </w:p>
        </w:tc>
        <w:tc>
          <w:tcPr>
            <w:tcW w:w="146" w:type="dxa"/>
            <w:tcBorders/>
          </w:tcPr>
          <w:p>
            <w:pPr>
              <w:pStyle w:val="TableContents"/>
              <w:bidi w:val="0"/>
              <w:spacing w:before="0" w:after="283"/>
              <w:jc w:val="left"/>
              <w:rPr/>
            </w:pPr>
            <w:r>
              <w:rPr/>
              <w:t> </w:t>
            </w:r>
          </w:p>
        </w:tc>
        <w:tc>
          <w:tcPr>
            <w:tcW w:w="87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Cargo Ship</w:t>
            </w:r>
          </w:p>
        </w:tc>
        <w:tc>
          <w:tcPr>
            <w:tcW w:w="146" w:type="dxa"/>
            <w:tcBorders/>
          </w:tcPr>
          <w:p>
            <w:pPr>
              <w:pStyle w:val="TableContents"/>
              <w:bidi w:val="0"/>
              <w:spacing w:before="0" w:after="283"/>
              <w:jc w:val="left"/>
              <w:rPr/>
            </w:pPr>
            <w:r>
              <w:rPr/>
              <w:t> </w:t>
            </w:r>
          </w:p>
        </w:tc>
        <w:tc>
          <w:tcPr>
            <w:tcW w:w="105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Leased-in on a bareboat basis(2)</w:t>
            </w:r>
          </w:p>
        </w:tc>
        <w:tc>
          <w:tcPr>
            <w:tcW w:w="146" w:type="dxa"/>
            <w:tcBorders/>
          </w:tcPr>
          <w:p>
            <w:pPr>
              <w:pStyle w:val="TableContents"/>
              <w:bidi w:val="0"/>
              <w:spacing w:before="0" w:after="283"/>
              <w:jc w:val="left"/>
              <w:rPr/>
            </w:pPr>
            <w:r>
              <w:rPr/>
              <w:t> </w:t>
            </w:r>
          </w:p>
        </w:tc>
        <w:tc>
          <w:tcPr>
            <w:tcW w:w="153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monthly rate equal to the sum of US$147,583.33, a floating rate of interest, and an administrative fee, each as set forth in the charter agreement.</w:t>
            </w:r>
          </w:p>
        </w:tc>
        <w:tc>
          <w:tcPr>
            <w:tcW w:w="146" w:type="dxa"/>
            <w:tcBorders/>
          </w:tcPr>
          <w:p>
            <w:pPr>
              <w:pStyle w:val="TableContents"/>
              <w:bidi w:val="0"/>
              <w:spacing w:before="0" w:after="283"/>
              <w:jc w:val="left"/>
              <w:rPr/>
            </w:pPr>
            <w:r>
              <w:rPr/>
              <w:t> </w:t>
            </w:r>
          </w:p>
        </w:tc>
        <w:tc>
          <w:tcPr>
            <w:tcW w:w="1576"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13, 2029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Upon expiration of the lease, Max Bright is obligated to purchase the vessel at a price equal to 10% of the higher of (a) the vessel’s book value, and (b) the average of the vessel’s book value and market value, as provided in the charter agreement. During the term of the lease, Max Bright also has the option to purchase the vessel at the price provided in the charter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Upon expiration of the lease, Top Legend is obligated to purchase the vessel at a price equal to 10% of the higher of (a) the vessel’s book value, and (b) the average of the vessel’s book value and market value, as provided in the charter agreement. During the term of the lease, Top Legend also has the option to purchase the vessel at the price provided in the charter agreement.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Upon expiration of the lease, Top Creation does not intend to renew the relevant vessel charter.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Suppliers and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maintain long-term good-standing relationships with various ship owners, including a related party and independent third parties. Our Shipping Subsidiaries typically enter into contracts with a term at least five years with the ship owners to reduce the risk of charter rate fluctuations. Under certain circumstances, our Shipping Subsidiaries charter vessels on the spot market. Currently, our Shipping Subsidiaries materially depend on a related party, and other affiliated entities to supply vessels and management services. The costs of leasing vessels and hiring crews may be subject to the volatility of the general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 (“TSGL”) and Max Bright entered into a Standard Bareboat Charter on September 7, 2018, under which TSGL delivered the vessel Top Diligence to Max Bright, and Max Bright became in full possession of the vessel and became responsible for its maintenance and operation throughout the charter period of ten (10) years. Max Bright is obligated to pay TSGL a charter hire consisting of (i) the principal amount of US$147,583.33 with a floating rate of interest, as specified in each hire installment invoice, and (ii) a monthly administrative fee equal to one-twelfth (1/12) of two percent (2%) of the outstanding principal loan balance under a certain facility agreement of which the original principal balance is US$35,420,000, for which the acquisition loan of Top Diligence accounted US$17,710,000 (none of Intercont or its subsidiaries is a party to such facility agreement). Upon the expiration of the charter, Max Bright is obligated to purchase Top Diligence at a price equal to the 10% of the higher of (i) Top Diligence’s book value, and (ii) the average of Top Diligence’s book value and market value.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TSGL and Top Legend entered into a Standard Bareboat Charter on September 7, 2018, under which TSGL delivered the vessel Top Elegance to Top Legend, and Top Legend became in full possession of the vessel and is responsible for its maintenance and operation throughout the charter period of ten (10) years. Top Legend shall pay TSGL a charter hire consisting of (i) the principal amount of US$147,583.33 with a floating rate of interest, as specified in each hire installment invoice, and (ii) a monthly administrative fee equal to one-twelfth (1/12) of two percent (2%) of the outstanding principal loan balance under the certain facility agreement of which the original principal balance is US$35,420,000, for which the acquisition loan of Top Elegance accounted US$17,710,000 (none of Intercont or its subsidiaries is a party to such facility agreement). Upon the expiration of the charter, Top Legend is obligated to purchase Top Elegance at a price equal to the 10% of the higher of (i) Top Elegance’s book value, and (ii) the average of Top Elegance’s book value and market value.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Trade Representative (“USTR”) has recently put forward significant trade actions under Section 301 of the Trade Act of 1974 with the aim of addressing China’s dominance in the maritime, logistics, and shipbuilding industries. These actions have the potential to dramatically increase the port fees and therefore the overall operating expenses for ships calling at U.S. ports. Specifically, the USTR has enacted a series of fees that would function as direct increases to port-related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action generally would include a fee targeting Chinese owners and operators for each instance a vessel owned or operated by a Chinese entity enters a U.S. port. The fee would be calculated at a rate of $50 per net ton of the vessel for each port entrance beginning October 14, 2025 and increasing over time, plateauing at $140 per net ton in 2028.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Another fee focuses on operators with fleets comprised of Chinese-built vessels. Under the action, in the case of a vessel not subject to the fees on Chinese owners and operators described above, fees generally would be imposed each time a Chinese-built vessel enters a U.S. port. The fee generally would be calculated at a rate of $18 per net ton of the vessel for each port entrance beginning October 14, 2025 and increasing over time, plateauing at $33 per net ton in 2028. There are several exceptions to this fee, including for dry bulk vessels with capacity less than 80,000 dwt, vessels arriving to the US empty or in ballast, and vessels entering a port in the continental United States from a voyage of less than 2,000 nautical miles from a foreign port or point.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Although all ships in our fleet were constructed in China, the port fees imposed by USTR will not apply to our global maritime shipping business at the moment as our global maritime shipping business does not involve calling at U.S. ports. But in addition to direct port fee increases, retaliatory actions by China or other countries could indirectly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impact port-related costs. For example, China imposed retaliatory port fees to restrict vessels of U.S. origin calling at Chinese ports on October 14, 2025, which could disrupt global shipping patterns and potentially increase congestion and costs at ports worldwide.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implementation of this action remains uncertain. On October 30, 2025, China’s Ministry of Commerce unveiled the outcomes achieved by Chinese and US delegations during their recent economic and trade talks in Kuala Lumpur from October 25, 2025 to October 26, 2025. Among other consensus, the US side will suspend the implementation of measures under its Section 301 investigation targeting China’s maritime, logistics and shipbuilding industries for one year. In response, China will correspondingly suspend the implementation of its countermeasures against the US side for one year once the US suspension takes effect, according to the spokesperson of China’s Ministry of Commerce. This suspension of implementation of measures under Section 301 investigation is pending the confirmation by the USTR.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Shipping Subsidiaries also maintain good relationships with customers to keep a steady flow of business needs for global maritime shipping services. For the six months ended December 31, 2025, Customer A (Topsheen Shipping Singapore Pte. Ltd., a related party) and Customer B accounted for approximately 73% and 11%, respectively, of the Group’s total revenues. For the six months ended December 31, 2024, Customer A (Topsheen Shipping Singapore Pte. Ltd., a related party) and Customer B accounted for approximately 70% and 11% respectively, of the Group’s total revenues. For the year ended June 30, 2025, Customer A (Topsheen Shipping Singapore Pte. Ltd., a related party) accounted for approximately 74% of the Group’s total revenues. For the year ended June 30, 2024, Customer A (Topsheen Shipping Singapore Pte. Ltd., a related party) and Customer B accounted for approximately 48% and 19%, respectively, of the Group’s total revenues. In the year ended June 30, 2024, due to market price fluctuation, Customer B terminated a revenue contract with us in advance. But we were able to lease the same vessel to Customer A (Topsheen Shipping Singapore Pte. Ltd., a related party) at a price approximately 25% below the original price to Customer B. As a result, there was no significant impact on our revenue for the year ended June 30, 2024. For the year ended June 30, 2023, Customer A (Topsheen Shipping Singapore Pte. Ltd., a related party), Customer B and Customer C accounted for approximately 43%, 19% and 12%, respectively, of the Group’s total 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Shipping Subsidiaries enter into standard charter agreements and vessel management agreements with their customers. The charter agreements are in standard forms, setting forth the parties, the charter period, the charter hire, as well as the specifications of the vessel chartered, including its type, total dead weight, classification society, etc. The vessel management agreements are also in standard forms, setting forth the parties, the vessel to be managed, the term of the management, and the daily management fee.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 summary of the material agreements entered into by our Shipping Subsidiaries.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25, 2023, Max Bright entered into a charter leasing Top Diligence to Topsheen Shipping Singapore Pte. Ltd., a related party, at a daily price of US$12,500. The term of the charter commenced on January 1, 2024, and ends on December 31,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December 25, 2023, Top Legend entered into a lease chartering Top Elegance to Topsheen Shipping Singapore Pte. Ltd., a related party, at a daily price of US$12,500. The term of the charter commenced on January 1, 2024, and ends on December 31,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 and Top Wisdom entered into a Vessel Management Agreement on August 12, 2022, under which Top Moral entrusted Top Wisdom to manage the vessel Top Brilliance for a period of five (5) years commencing on the execution date. Top Wisdom is responsible for the maritime management, crew management, technical maintenance, insurance arrangements, and other matters relating to Top Brilliance for a monthly management fee of US$6,000. The agreement may be automatically extended for an additional year upon expiration unless either party provides notice of objection. Top Wisdom is also entitled to an incentive payment of US$5,000 for each day that Top Brilliance remains seaworthy beyond three-hundred and sixty (360) days in a given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Top Creation and Top Wisdom entered into a Vessel Entrusted Management Agreement on January 1, 2022, under which Top Creation entrusted Top Wisdom to manage the vessel Top Advancer for a period of four (4) years commencing on the execution date. Top Wisdom is responsible for the maritime management, crew management, technical maintenance, insurance arrangements, and other matters relating to Top Advancer for a monthly management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of US$6,000. The agreement may be automatically extended for an additional year upon expiration unless either party provides notice of objection. Top Wisdom is also entitled to an incentive payment of US$5,000 for each day that Top Advancer remains seaworthy beyond three-hundred and sixty 360 days in a given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Creation and Top Wisdom entered into a Vessel Seafarer Dispatch Agreement on January 1, 2022, under which Top Creation engaged twenty-one (21) crew members sourced by Top Wisdom for service aboard the vessel Top Advancer for a period of four (4) years commencing on the execution date. Top Creation will reimburse Top Wisdom for its actually incurred expenses, including but not limited to crew wages, food expenses, and domestic travel expenses, and Top Wisdom will receive an annual management fee of US$50,000. The lease for Vessel Top Advancer expired in January 2026 and Top Creation does not intend to renew such lease.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 and Top Wisdom entered into a Seafarer Dispatch Agreement on August 12, 2022, under which Top Moral engaged twenty-two (22) crew members sourced by Top Wisdom for service aboard the vessel Top Brilliance for a period of five (5) years commencing on the execution date. Top Moral will reimburse Top Wisdom for its actually incurred expenses, including but not limited to crew wages, food expenses, and domestic travel expenses, and Top Wisdom will receive an annual management fee of US$44,000.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Seaborne Pulping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plans to operate its seaborne pulping business through Openwindow, backed by the Shipping Subsidiaries’ connection in the industry. The Group has not launched the seaborne pulping business as of the date of this prospectus. The Group plans to launch its seaborne pulping business in an orderly manner at an appropriate time once external economic and political conditions stabilize.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Traditional Pulping Industry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Pulp mills process timber into pulp, the fundamental material for paper and paper products. After unloaded to a pulp mill, timber gets chipped into small pieces and screened to remove oversized and undersized chips. Chips are pre-treated with heat or chemicals to soften the lignin before further processing. Then, to turn wood into pulp, either mechanical or chemical method is used. In the mechanical approach, the chipping machine consumes diesel to grind and shred chips into lignin. Under the chemical approach, chemicals such as sodium hydroxide and sulfide liquor are used for the removal of lignin and separation of cellulose. The treated pulp then gets washed and bleached. For ease of later transportation and handling, the pulp will be dried and baled.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Though mechanical and chemical processes produce products fit for different uses because of the different lignin concentration resulting from the processes. The mechanical method has higher yield of pulp, but the pulp contains more lignin, making its end product suitable for paperboards and newsprint, but not high-end paper products such as tissues or fine printing paper. In contrast, the chemically produced pulp contains less lignin, and is therefore suitable for fine paper products.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traditional pulp production requires landmass to build up factories, consumes thermal and electric energy, and the use of chemicals results in heavy pollution. As improvement, some bio-enzymes are used as alternatives to chemicals. Unlike chemicals, the bio-enzymes are environmentally friendly. Thereby, the production of certain types of paper products that can be processed by bio-enzymes have much less environmental impact.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Openwindow’s Seaborne Pulping Technology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Openwindow’s seaborne pulping business will utilize technologies to be developed by the Group and third parties. Openwindow’s seaborne pulping design is based on the mechanical method. Modularizing the onshore model, Openwindow expects to easily transplant the equipment onto factory ships. By utilizing the shipping time to make pulp with environmentally friendly designs, we expect the supply chain can be shortened and greenized.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plans to develop pulp production technology ships based on two technical models: the dry pulping model and wet pulping model. The first ship is planned to adopt the dry pulping model, while subsequent ship modifications will determine whether to use dry or wet pulping based on the vessels’ characteristics and customer requirements.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Dry Pulping Model: In the dry pulping process, old corrugated containers will be physically broken down through shredding and air separation. The resulting pulp is pressed into dry pulp blocks with approximately 15% of moisture content. This production method is expected to achieve near-zero emissions of waste water, waste gas, and solid waste, simplifying the production process, and significantly reducing energy consumption.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Wet Pulping Model: In the wet pulping process, old corrugated containers are soaked, dispersed, and physically broken down. We plan to use a waste gas recycle system to utilize the exhaust heat from the engines to heat the process water to 50-60°C, which is expected to increase the soaking and dissolving efficiency of the old corrugated containers by 8%-10% within the aforementioned temperature range. We believe using exhaust heat reduces the need for electricity or fuel, thereby enhancing production efficiency and lowering energy consumption. We further believe that for improved environmental results, the exhaust gases, after heat exchange, will be directed into a filtration system to remove harmful substances, further reducing the environmental impact. Additionally, we believe that specific biological enzymes can be added to further improve production efficiency.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 specifically, the eventual waste gas recycle system design is expected to consist of a waste heat recovery system and a waste heat power generation system. We expect the waste heat recovery system will be designed to convert the waste heat from the vessel engines’ exhaust gas and jacket water into thermal energy of hot water. The waste heat recovery system is expected to reduce the emission concentration of pollutants in the exhaust gas and help reduce pollutant emissions. We expect the waste heat power generation system to be designed to transform the thermal energy into mechanical and electric energy, which we believe will reduce energy consumption.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we are still in the research and development stage of the waste gas recycle system related technology, and we have not tested out such technology in practice. There is a risk that the technology may undergo further modifications, potentially failing to function as intended in practice, to work at the anticipated efficiency, or to function at all. For further information, see “</w:t>
      </w:r>
      <w:r>
        <w:rPr>
          <w:rFonts w:ascii="Times New Roman PS Std;serif" w:hAnsi="Times New Roman PS Std;serif"/>
          <w:b w:val="false"/>
          <w:i/>
          <w:caps w:val="false"/>
          <w:smallCaps w:val="false"/>
          <w:sz w:val="20"/>
        </w:rPr>
        <w:t>Risk Factors — Risks related to our business and industry —</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Our seaborne pulping business is still in early stages, and may not operate profitably, if at all</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will continue to explore other renewable energy solution in the seaborne chipping process. Additionally, the Group also expects to make modifications to the diesel engines for higher efficiency. Two frequency-converted low-speed diesel generator sets are designed to be installed on each pulping factory ship to power the pulping process equipment.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waste heat power generator and diesel generator will transmit power to the distribution panel together. The joint power supply is expected to effectively perform power transmission and distribution work. The power management system controls the power load of each pulping equipment, efficiently and reasonably distributes power, and reduces electricity consumption. Furthermore, the onboard equipment adjustment is expected to include conversions of bulk storage rooms into pulp production rooms, installation of the waste heat recycle system, the power generators, the desalination equipment, and other modification of wire lines for the system to operate. We expect the vessel modification will cause material changes to the dry bulk carrier vessel. As a result, we believe the modified vessel will need a new certification from a classification society before commencing its operation.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Openwindow’s Seaborne Pulping Process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Openwindow plans to collect old corrugated containers from the designated ports. Then cargo handlers will be engaged to stack the old corrugated containers into the cabin, to ready such containers for the pulping streamline. The pulping production line is expected to be an automatic distributed control system (“DCS”), consisting of a large number of cameras monitoring the status of each equipment, enabling personnel to control and operate in a control room.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port, during a regular process, we expect the crew will take the old corrugated containers off the storage trusses, cutting the wires bundling the containers during transportation. Then the old corrugated containers are expected to be transported from the storage cabins to the processing cabin on a gantry mechanism, and expected to be put into the mechanical broke pulpers, transforming them into liquid pulp. We believe the liquid pulp will be further processed to remove impurities, in which process enzyme will be added to further dissolve unwanted fibers, saving energy and enhancing the quality of the pulp. Finally, we expect that the pulp will be condensed and dehydrated into pulp bales containing approximately 50% of water, ready to offload to downstream paper mills for paper making. The pulping process is expected to be automated by a DCS, and we expect trained personnel to be monitoring this pulping process in a control room to check the status and make necessary adjustments.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in the initial stages, Openwindow plans to produce pulp exclusively out of wastepaper, which we believe are easily available and of high quality. Incurring no need to cut down new timber, Openwindow expects to generate economic gains at minimum environmental costs.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Routes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Openwindow expects to launch its first line between Southeast Asia and China. Openwindow plans to procure old corrugated containers through both direct purchases and trade agents, transporting them to a designated port in Southeast Asia. There, we expect a factory ship will load the old corrugated containers and begin the pulping process as the voyage to China starts. We expect the pulping process will be completed during a journey of about fifteen (15) to seventeen (17) days. Upon arrival in the designated Chinese port, we expect the processed pulp will be offloaded. We then expect the factory ship will then return to the Southeast Asia port to reload materials and begin the cycle again. We expect that each round trip will take approximately thirty (30) to thirty-five (35) days.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Openwindow also plans to launch lines between U.S. and China. Openwindow’s suppliers are expected to collect old corrugated containers across the U.S. and ship them to a designated port. Then we expect that the factory ship will take a route as instructed according to the business needs, while processing the pulp during the voyage. Ultimately, the factory ship is expected to arrive at a Chinese port, offloading the pulp bales to the customers. We expect that a round-trip of the planned U.S.-China route will take approximately sixty (60) to seventy (70) days.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Leased-in and Self-owned Factory Ships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Openwindow plans to start its seaborne pulping business with leased-in factory ships models first. Initially, Openwindow plans to lease factory ships from shipowners. Such shipowners are expected to modify the factory ships under Openwindow’s technical specifications. Upon satisfactory inspection, it is expected that Openwindow will accept such factory ships and hire them to launch the seaborne pulping business. Such a leased-in business model is expected to enable Openwindow to quickly scale up the seaborne pulping business and increase its revenue. In the long run, Openwindow also has plan to purchase factory ships or lease in bare boats to install modifications by itself. Eventually, the ratio of self-owned factory ships to leased-in factory ships is expected to reach 1:4.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such modified factory ship will need a new certification from a classification society before commencing its operation.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Suppliers and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Openwindow plans to purchase old corrugated containers, from suppliers in Southeast Asia and the U.S. Once the seaborne pulping business is launched in the future, Openwindow expects to primarily purchase approximately 100,000 tons of old corrugated containers. As of the date of this prospectus, Openwindow has contacted several old corrugated container suppliers for the supply and purchase relationship, and is expected to rely to a certain extent on certain ship ownerships for the provision of seaborne pulping factory ships.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of old corrugated containers can change materially due to shifts in market supply and demand. According to Fastmarkets, a website providing data for commodity markets, the U.S. market’s old corrugated container price average has decreased by $55/ton, or 50.5%, from a $109/ton US average in August 2022. Meanwhile, the vessel rental costs can be subject to volatilities in the shipping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Trade Representative (“USTR”) has put forward significant trade actions under Section 301 of the Trade Act of 1974 with the aim of addressing China’s dominance in the maritime, logistics, and shipbuilding industries. These actions have the potential to dramatically increase the port fees and therefore the overall operating expenses for ships calling at U.S. ports. Specifically, the USTR has enacted a series of fees that would function as direct increases to port-related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action generally would include a fee targeting Chinese owners and operators for each instance a vessel owned or operated by a Chinese entity enters a U.S. port. The fee would be calculated at a rate of $50 per net ton of the vessel for each port entrance beginning October 14, 2025 and increasing over time, plateauing at $140 per net ton in 2028.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Another fee focuses on operators with fleets comprised of Chinese-built vessels. Under the action, in the case of a vessel not subject to the fees on Chinese owners and operators described above, fees generally would be imposed each time a Chinese-built vessel enters a U.S. port. The fee generally would be calculated at a rate of $18 per net ton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 vessel for each port entrance beginning October 14, 2025 and increasing over time, plateauing at $33 per net ton in 2028. There are several exceptions to this fee, including for dry bulk vessels with capacity less than 80,000 dwt, vessels arriving to the US empty or in ballast, and vessels entering a port in the continental United States from a voyage of less than 2,000 nautical miles from a foreign port or point.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have not launched the seaborne pulping business as of the date of this prospectus. The Group plans to launch its seaborne pulping business in an orderly manner at an appropriate time once external economic and political conditions stabilize. The factory ships to be used in the seaborne pulping business may have capacity over 90,000 dwt, which is above the 80,000-dwt threshold for the exception from the port fees for Chinese-built dry bulk vessels, and therefore the vessel will not be exempt from the port fee on Chinese-built vessels under the current version of the USTR action. Given the potential magnitude of these port-related fees and the many uncertainties surrounding their implementation, it is not possible at this time to fully predict the ultimate financial impact. However, if the action or similar measures are implemented, port fees for our vessels or vessels we charter and our operating costs for voyages calling at U.S. ports could materially increase. This, in turn, could significantly reduce our profitability of seaborne pulping business, negatively impact our ability to compete effectively, and materially and adversely affect our operations and financial results of our seaborne pulping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10, 2023, Intercont entered into a research and development agreement regarding the pulping vessel technologies with Xinsihui (the “Xinsihui Phase 1 Agreement”). Under the agreement, Xinsihui would develop the big data platform for the seaborne pulping vessels for Intercont at a price of US$300,000. On March 5, 2024, Intercont and Xinsihui entered into another research and development agreement (“Xinsihui Phase 2 Agreement”), under which Xinsihui would develop technologies using waste heat to promote pulping, raw material processing at the port, and installment of boarding raw materials at an aggregate price of US$301,000. On November 13, 2024, Intercont and Xinsihui entered into a licensing agreement (the “Xinsihui Licensing Agreement”), under which Xinsihui licenses all the patents related to the Xinsihui Phase 1 Agreement and Xinsihui Phase 2 Agreement to Intercont free of charge until the later of the third month following the completion of Intercont’s IPO and the first anniversary of the execution date. On November 13, 2025, we entered into a Patent Assignment Agreement with Xinsihui, pursuant to which Xinsihui agreed to assign, and we agreed to accept the assignment of, all legally owned patents and patent applications, including all associated patent rights and derivative rights. Upon completion of the agreed payments and patent formalities, we will become the sole owner of these Assigned Patents, eliminating any future risk of license non-renewal or unfavorable terms. Our seaborne pulping business will therefore no longer depend on a revocable license from Xinsihui. We may also engage other companies for further assistance to develop our seaborne pulping technologies.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11, 2024, Intercont and Top Wisdom entered into a strategic cooperation memorandum with Rockwell Automation (China) Company Limited (“Rockwell”), under which Rockwell will provide services in the Group’s seaborne pulping business and ESG compliance and reporting.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Pulp made from old corrugated containers using bio-enzyme is more suitable for certain types of paper products — mostly, containers or packages. Therefore, Openwindow’s targeted customers are those producing paper containers and packages, including those in mainland China and Singapore.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Competitive Advantages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the following competitive strengths have contributed and will continue to contribute to our success.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Global maritime shipping Services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Established Track Record in Global Maritime Shipping.    </w:t>
      </w:r>
      <w:r>
        <w:rPr>
          <w:rFonts w:ascii="Times New Roman PS Std;serif" w:hAnsi="Times New Roman PS Std;serif"/>
          <w:b w:val="false"/>
          <w:i w:val="false"/>
          <w:caps w:val="false"/>
          <w:smallCaps w:val="false"/>
          <w:sz w:val="20"/>
        </w:rPr>
        <w:t>Our Shipping Subsidiaries and management team have been in the global maritime shipping business for over a decade. Over the years, our Shipping Subsidiaries have maintained stable business relationships with critical suppliers and customers.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Strong Balance Sheet Positioned for Additional Growth.    </w:t>
      </w:r>
      <w:r>
        <w:rPr>
          <w:rFonts w:ascii="Times New Roman PS Std;serif" w:hAnsi="Times New Roman PS Std;serif"/>
          <w:b w:val="false"/>
          <w:i w:val="false"/>
          <w:caps w:val="false"/>
          <w:smallCaps w:val="false"/>
          <w:sz w:val="20"/>
        </w:rPr>
        <w:t>The Group has maintained a stable financial position, and has maintained its liquidity position throughout the downturn in shipping markets through prudent financial risk management. The Group’s moderate financial leverage, together with its current expectation of continued access to bank financing, has strongly positioned the Group to take advantage of further growth opportunities.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Experienced management team.    </w:t>
      </w:r>
      <w:r>
        <w:rPr>
          <w:rFonts w:ascii="Times New Roman PS Std;serif" w:hAnsi="Times New Roman PS Std;serif"/>
          <w:b w:val="false"/>
          <w:i w:val="false"/>
          <w:caps w:val="false"/>
          <w:smallCaps w:val="false"/>
          <w:sz w:val="20"/>
        </w:rPr>
        <w:t>The Group has an experienced team. Each management team member of the Shipping Subsidiaries has over ten years of experience in global maritime shipping. The management team’s deep experience and extensive relationships with ship owners, shippers, lenders, insurers, and other industry participants facilitate the smooth operation of the global maritime shipping sector.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Large cargo contracts base and strong relationships with key counterparties.    </w:t>
      </w:r>
      <w:r>
        <w:rPr>
          <w:rFonts w:ascii="Times New Roman PS Std;serif" w:hAnsi="Times New Roman PS Std;serif"/>
          <w:b w:val="false"/>
          <w:i w:val="false"/>
          <w:caps w:val="false"/>
          <w:smallCaps w:val="false"/>
          <w:sz w:val="20"/>
        </w:rPr>
        <w:t>Intercont has built a significant base of cargo contracts. Intercont has also established strong long-term global relationships with shipping companies, shipyards, trading houses, and brokers. Thus, Intercont has been able to match demands with supplies in a timely and efficient manner. In addition, a large cargo contracts base helps Intercont to better position its routes geographically and enables it to mitigate market volatility.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Seaborne Pulping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Light-asset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business model.    </w:t>
      </w:r>
      <w:r>
        <w:rPr>
          <w:rFonts w:ascii="Times New Roman PS Std;serif" w:hAnsi="Times New Roman PS Std;serif"/>
          <w:b w:val="false"/>
          <w:i w:val="false"/>
          <w:caps w:val="false"/>
          <w:smallCaps w:val="false"/>
          <w:sz w:val="20"/>
        </w:rPr>
        <w:t>Unlike traditional shipping companies, Openwindow plans to operate the seaborne pulping business on a light-asset model. Openwindow expects to own only a limited number of pulping factory ships, but to lease most factory ships modified according to its specifications from shipowners. Under this model, it is expected that Openwindow may quickly scale up its business without incurring significant capital expenditures.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Product quality.    </w:t>
      </w:r>
      <w:r>
        <w:rPr>
          <w:rFonts w:ascii="Times New Roman PS Std;serif" w:hAnsi="Times New Roman PS Std;serif"/>
          <w:b w:val="false"/>
          <w:i w:val="false"/>
          <w:caps w:val="false"/>
          <w:smallCaps w:val="false"/>
          <w:sz w:val="20"/>
        </w:rPr>
        <w:t>Utilizing advanced equipment and procedures, Openwindow expects to be able to deliver what we believe to be high-quality pulp. Openwindow’s pulp is expected to contain less undissolved fiber and impurities than the Chinese national standard, making it readily available for the downstream paper mills’ processing without further treatment. The higher quality pulp is expected to provide Openwindow an edge against some of its competitors.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Targeted market.    </w:t>
      </w:r>
      <w:r>
        <w:rPr>
          <w:rFonts w:ascii="Times New Roman PS Std;serif" w:hAnsi="Times New Roman PS Std;serif"/>
          <w:b w:val="false"/>
          <w:i w:val="false"/>
          <w:caps w:val="false"/>
          <w:smallCaps w:val="false"/>
          <w:sz w:val="20"/>
        </w:rPr>
        <w:t>Openwindow’s pulp is expected to be suitable for making paper containers and packages, widely used in the logistics and delivery industry. With a large volume of online shopping transactions, we believe Asia’s market has a corresponding appetite for packaging materials. Openwindow expects to benefit from this specific segment of market.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Growth Strategies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pursue the following strategies to drive future growth.</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Global maritime shipping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Organically grow our fleet</w:t>
      </w:r>
      <w:r>
        <w:rPr>
          <w:rFonts w:ascii="Times New Roman PS Std;serif" w:hAnsi="Times New Roman PS Std;serif"/>
          <w:b w:val="false"/>
          <w:i w:val="false"/>
          <w:caps w:val="false"/>
          <w:smallCaps w:val="false"/>
          <w:sz w:val="20"/>
        </w:rPr>
        <w:t>.    Our Shipping Subsidiaries plan to organically grow our fleet to increase our revenue and meet increasing demands. Our Shipping Subsidiaries expect to acquire two (2) additional vessels in the upcoming five years but our Shipping Subsidiaries have not entered into any contracts of acquisition of vessels as of the date of this prospectus.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Improve operation efficiency.    </w:t>
      </w:r>
      <w:r>
        <w:rPr>
          <w:rFonts w:ascii="Times New Roman PS Std;serif" w:hAnsi="Times New Roman PS Std;serif"/>
          <w:b w:val="false"/>
          <w:i w:val="false"/>
          <w:caps w:val="false"/>
          <w:smallCaps w:val="false"/>
          <w:sz w:val="20"/>
        </w:rPr>
        <w:t>We plan to improve the efficiency of our operations, by introducing more advanced technology to empower the chartering service. By better connecting the needs of shipowners and charters, as well as more efficiently arranging the vessel space, we expect to further increase the profit margin of the chartering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Consolidate the financial conditions.    </w:t>
      </w:r>
      <w:r>
        <w:rPr>
          <w:rFonts w:ascii="Times New Roman PS Std;serif" w:hAnsi="Times New Roman PS Std;serif"/>
          <w:b w:val="false"/>
          <w:i w:val="false"/>
          <w:caps w:val="false"/>
          <w:smallCaps w:val="false"/>
          <w:sz w:val="20"/>
        </w:rPr>
        <w:t>Some of our Shipping Subsidiaries’ vessels are financed, subjecting us to potential risks from interest rate changes and market volatilities. We plan to adjust our capital structure based on the outcome of our operations and market conditions to reduce risks.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Seaborne Pulping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Increase the number of pulping factory ships</w:t>
      </w:r>
      <w:r>
        <w:rPr>
          <w:rFonts w:ascii="Times New Roman PS Std;serif" w:hAnsi="Times New Roman PS Std;serif"/>
          <w:b w:val="false"/>
          <w:i w:val="false"/>
          <w:caps w:val="false"/>
          <w:smallCaps w:val="false"/>
          <w:sz w:val="20"/>
        </w:rPr>
        <w:t>.    Openwindow is negotiating with a shipowner to set up a factory ship with specific specifications for its seaborne pulping operations. After it launches and operates steadily, Openwindow expects to duplicate the model to new factory ships. Openwindow expects to attain a fleet of eight (8) leased-in and self-owned factory ships in the future. Openwindow has not entered into any contracts to lease or acquire factory ships as of the date of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Expand product lines.    </w:t>
      </w:r>
      <w:r>
        <w:rPr>
          <w:rFonts w:ascii="Times New Roman PS Std;serif" w:hAnsi="Times New Roman PS Std;serif"/>
          <w:b w:val="false"/>
          <w:i w:val="false"/>
          <w:caps w:val="false"/>
          <w:smallCaps w:val="false"/>
          <w:sz w:val="20"/>
        </w:rPr>
        <w:t>The current designs of Openwindow’s equipment and technology are expected to work best for making pulp out of old corrugated containers. Openwindow plans to improve its technology to manufacture pulp out of other materials and for other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Acquire more customers.    </w:t>
      </w:r>
      <w:r>
        <w:rPr>
          <w:rFonts w:ascii="Times New Roman PS Std;serif" w:hAnsi="Times New Roman PS Std;serif"/>
          <w:b w:val="false"/>
          <w:i w:val="false"/>
          <w:caps w:val="false"/>
          <w:smallCaps w:val="false"/>
          <w:sz w:val="20"/>
        </w:rPr>
        <w:t>Openwindow’s seaborne pulping business is at an early stage. To further grow its business, Openwindow expects to expand its customer base for higher bargaining power and flexibility.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international maritime business, we face intense competition in vessel chartering and vessel management sections. Competitors in the vessel chartering business include CSSC (Hong Kong), Shipping Company Limited, COSCO SHIPPING Corporation Limited, AVIC International Maritime Holdings Ltd, etc.; and competitors in the vessel management service section include V.Group Holdings Limited, among others.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seaborne pulping business operates an innovated business model, which produces pulp from waste old corrugated cardboards, focusing on the packaging materials industry. We expect to source raw materials from North America and Southeast Asia and explore markets in Southeast Asia and East Asia. Our business model is different from those of the incumbent shipping companies. Therefore, we do not expect to see direct competitors for our seaborne pulping business in the near future.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the Group had 24 employees, some of the employees are hired to assist loading and unloading work in Chinese ports. The following table sets forth the breakdown of our employees including appointed directors and officers as of the date of this prospectus by function:</w:t>
      </w:r>
    </w:p>
    <w:tbl>
      <w:tblPr>
        <w:tblW w:w="7738" w:type="dxa"/>
        <w:jc w:val="left"/>
        <w:tblInd w:w="0" w:type="dxa"/>
        <w:tblLayout w:type="fixed"/>
        <w:tblCellMar>
          <w:top w:w="0" w:type="dxa"/>
          <w:left w:w="0" w:type="dxa"/>
          <w:bottom w:w="0" w:type="dxa"/>
          <w:right w:w="0" w:type="dxa"/>
        </w:tblCellMar>
      </w:tblPr>
      <w:tblGrid>
        <w:gridCol w:w="6556"/>
        <w:gridCol w:w="146"/>
        <w:gridCol w:w="1036"/>
      </w:tblGrid>
      <w:tr>
        <w:trPr/>
        <w:tc>
          <w:tcPr>
            <w:tcW w:w="65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Functions</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r>
      <w:tr>
        <w:trPr/>
        <w:tc>
          <w:tcPr>
            <w:tcW w:w="6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Management</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65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Operating Team</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6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Accounting, Research and Development and Administration Team</w:t>
            </w:r>
          </w:p>
        </w:tc>
        <w:tc>
          <w:tcPr>
            <w:tcW w:w="146"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65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03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21 employees were based in mainland China and 3 employees were based in Singapore.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 into standard labor and confidentiality agreements with our employees. We believe that we maintain a good working relationship with our employees, and we have not experienced any major labor disputes.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for our fleet, the Group does not own any other major assets. Top Wisdom leases 1,900 sq. ft. office space in Nanjing, China, at an annual rate of CNY 198,000 (approximately US$27,500) from a shareholder’s family member.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lease, Intercont will lease the office space at 39 Ocean Drive Singapore for a monthly rate of S$25,000 (approximately US$19,700).</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Debt and Financing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 entered into a vessel financing loan agreement with Chailease International Financial Services (Singapore) Pte. Ltd. (“CIFSS”) in August 2022 (the “CIFSS Loan”). Top Moral used the proceeds of the CIFSS Loan to purchase Top Brilliance (originally named Mandarin Fortune), a Supramax Bulk Carrier built in 2018. The principal of the CIFSS Loan was US$9,500,000, with a five-year maturity date and a current annual interest rate of Secured Overnight Financing Rate (SOFR) plus 4.16%, after an amendment entered into in March 2023. As of June 30, 2025, the total outstanding balance of the CIFSS Loan was US$2,908,945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for the CIFSS Loan, neither the Group nor any of its subsidiaries has entered into any material debt or financing arrangements.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Classification and Inspection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the vessels leased or owned by us are certified as being “in class” by a classification society member of the International Association of Classification Societies such as Lloyds Register of Shipping and Bureau Veritas. All new and pre-owned vessels that we lease or purchase are required certified prior to their delivery under our standard contracts and memoranda of agreement. If the vessel is not certified on the date of closing, we have no obligation to accept delivery of the vessel. Most insurance underwriters make it a condition for insurance coverage that a vessel be certified as “in class” by a member classification society of the International Association of Classification Societies. Every vessel’s hull and machinery is “classed” by a classification society authorized by its country of registry. The classification society certifies that the vessel has been built and maintained in accordance with the rules of such classification society and complies with applicable rules and regulations of the country of registry of the vessel and the international conventions of which that country is a member. Each vessel is inspected by a surveyor of the classification society every year — an annual survey, every two to three years — an intermediate survey, and every four to five years — a special survey. Vessels may also be required, as part of the intermediate survey process, to be dry-docked every 30 to 36 months for inspection of the underwater parts of the vessel and for necessary repairs related to such inspection; alternatively, such requirements may be dealt concurrently with the special survey.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classification inspections, many of our customers, including the major charterers regularly inspect our vessels as a pre-condition to chartering voyages on these vessels. We believe that our well-maintained, high quality fleet should provide us with a competitive advantage in the current environment of increasing regulations, and customer focus on quality of service. All areas subject to surveys as defined by the classification society are required to be surveyed at least once per class period, unless shorter intervals between surveys are prescribed elsewhere. The period between two subsequent surveys of each area must not exceed five years. Vessels are dry docked for the special survey for inspection of the underwater parts and for repairs related to inspections. If any defects are found, the classification surveyor will issue a “recommendation” which must be rectified by the ship owner within the prescribed time limits.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Intercont considers its patents, copyrights, trademarks, trade names, internet domain names, patents and other intellectual property assets invaluable to its ability to develop and protect new technology, grow its business and enhance its brand recognition. As of the date of this prospectus, the Group does not own any intellectual property except for the domain name </w:t>
      </w:r>
      <w:r>
        <w:rPr>
          <w:rFonts w:ascii="Times New Roman PS Std;serif" w:hAnsi="Times New Roman PS Std;serif"/>
          <w:b w:val="false"/>
          <w:i/>
          <w:caps w:val="false"/>
          <w:smallCaps w:val="false"/>
          <w:sz w:val="20"/>
        </w:rPr>
        <w:t>http://www.intercontcayman.com</w:t>
      </w:r>
      <w:r>
        <w:rPr>
          <w:rFonts w:ascii="Times New Roman PS Std;serif" w:hAnsi="Times New Roman PS Std;serif"/>
          <w:b w:val="false"/>
          <w:i w:val="false"/>
          <w:caps w:val="false"/>
          <w:smallCaps w:val="false"/>
          <w:sz w:val="20"/>
        </w:rPr>
        <w:t>. The Group is applying for patents related to the seaborne pulping technologies, and will cooperate with third party researchers to explore favorable licensing agreements.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Seasonality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maritime shipping business is affected by seasonality. Usually, the global shipping demand increases before certain major festivals, such as Christmas and the Lunar New Year. But since the Shipping Subsidiaries have long term agreements with suppliers and customers, the Group does not expect to see material impact caused by seasonality factors. Meanwhile, the Group does not expect to see material seasonality in the seaborne pulping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 of Loss and Liability Insurance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operation of any cargo vessel includes amongst others the handling and management of situations such as mechanical failure and/or physical damage to the ship, collision, third party property loss, cargo loss or damage, business interruption due to political circumstances in foreign countries, hostilities and labor strikes. In addition, there is always an inherent possibility of marine disaster, including environmental mishaps, and the liabilities rising from owning and operating vessels in international trade. While we believe that our present insurance coverage is adequate, not all risks can be insured, and there can be no guarantee that any specific claim will be paid, or that we will always be able to obtain adequate insurance coverage at reasonable rates.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procure hull and machinery insurance, protection and indemnity insurance, which include environmental damage and pollution insurance coverage, war risk and other insurance coverage for our fleet with Swedish Club, the London P&amp;I Club, PICC Property and Casualty Company Limited. Accordingly, if any vessels owned or operated by our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Shipping Subsidiaries incur significant costs from an accident, spill or other environmental liability or becomes subject to insurance fraud or other incident, our insurance premiums and costs could increase significantly or we may not be able to obtain insurance for our ships.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Hull and Machinery Insurance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 place Fleet Marine Hull and Machinery and Fleet War Risk insurance policies, providing coverage for particular damage to the vessel, salvage and towage costs following a casualty as well as for vessel Actual or Constructive Total Loss. The vessels are each insured up to at least fair market value, subject to a deductible of US$30,000 per incident. We also maintain Increased Value insurance. Under the Increased Value insurance, in case of total loss of a vessel, we will be able to recover the sum insured under the Increased Value policy in addition to the sum insured under the Hull and Machinery policy. Increased Value insurance also covers excess liabilities which are not recoverable in full by the Hull and Machinery policies by reason of under insurance.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Protection and Indemnity Insurance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Protection and indemnity insurance is a form of mutual indemnity insurance, designed to covers third party liabilities likely to arise out of our shipping activities. It is provided by non-profit-making insurance organizations commonly known as Protection and Indemnity Associations or “P&amp;I Clubs”. This insurance aims to respond to third-party liability claims and other related expenses arising amongst others from injury or death of crew, passengers, or other third parties, loss of or damage to cargoes, claims arising from collisions with other vessels, damage to third-party properties, pollution arising from oil or other substances, salvage costs to the extent that they aim to control or mitigate the environmental effect following a casualty, wreck removal and other discretionary costs. Our current protection and indemnity insurance provides cover for Oil Pollution up to US$1.0 billion per vessel per incident. The 13 P&amp;I Associations that comprise the International Group insure approximately 90% of the world’s commercial tonnage and have entered into a pooling agreement to reinsure each association’s liabilities. Claims pooling between the clubs is regulated by the Pooling Agreement which defines the risks that can be pooled and how losses are to be shared between the participating clubs. The Pool provides a mechanism for sharing all claims in excess of US$10 million up to, approximately US$3.1 billion.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current structure, clubs’ contributions to claims in the lower pool layer from US$10 million to US$30 million are assessed on a tripartite formula which takes account of each club’s contributing tonnage, premium and claims record. For claims falling in the upper pool layer from US$50 million to US$100 million, 7.5% is retained by the club bringing the claim and 92.5% is shared by all on a tonnage-weighted basis. The International Group clubs arrange a common market reinsurance contract to provide reinsurance for claims which exceed the upper limit of the pool US$100 million) up to an amount of US$3.1 billion any one claim (US $1 billion for Oil Pollution claims). It is said to be the largest single marine reinsurance contract in the market. As members of Mutual P&amp;I Associations, we may become subject to unbudgeted supplementary calls payable to the P&amp;I Club depending on its fiscal year results that they are determined by 3 main parameters, i.e., their exposure from payment of claims, the income through premium and the income arising from investments. Our aim at every renewal is to conclude our P&amp;I insurance with “A rated” P&amp;I clubs as this, amongst other benefits, eliminates the risk of unbudgeted supplementary calls being imposed.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Officers Insurance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do not maintain D&amp;O insurance. We intend to obtain D&amp;O insurance to reduce our indemnification obligations towards our directors and officers for certain preset types of claims and liabilities asserted against them in relation to their exercise of duties for our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to the management’s best knowledge, the Group is not subject to or under threat of any litigation or legal proceeding that would cause material adverse effect on the business of the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12"/>
      <w:bookmarkEnd w:id="13"/>
      <w:r>
        <w:rPr>
          <w:rFonts w:ascii="Times New Roman PS Std;serif" w:hAnsi="Times New Roman PS Std;serif"/>
          <w:b/>
          <w:i w:val="false"/>
          <w:caps w:val="false"/>
          <w:smallCaps w:val="false"/>
          <w:sz w:val="20"/>
        </w:rPr>
        <w:t xml:space="preserve">REGULATIONS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section sets forth a summary of the most significant laws, rules and regulations that affect our business activities.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Regulations applicable to our global maritime shipping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global maritime shipping business is subject to various laws and regulations, from international conventions to national, state and local laws and regulations in effect where our Shipping Subsidiaries may operate or are registered.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variety of governmental and private entities subject our vessels to both scheduled and unscheduled inspections. These entities include the local port authorities (United States Coast Guard, harbor master or equivalent), classification societies, flag state administration (country of registry), charterers and particularly terminal operators. Certain of these entities require us to obtain permits, licenses, certificates and financial assurances for the operation of our vessels. Failure to maintain necessary permits or approvals could require us to incur substantial costs or result in the temporary suspension of operation of one or more of our vessels. We believe that the heightened level of environmental and quality concerns among insurance underwriters, regulators and charterers is leading to greater inspection and safety requirements on all vessels and may accelerate the scrapping of older vessels throughout the industry. Increasing environmental concerns have created a demand for vessels that conform to the stricter environmental standards. We are required to maintain operating standards for all of our vessels that emphasize operational safety, quality maintenance, continuous training of our officers and crews and compliance with United States and international regulations. We believe that the operation of our vessels is in substantial compliance with applicable environmental laws and regulations. However, because such laws and regulations are frequently changed and may impose increasingly stricter requirements, any future requirements may limit our ability to do business, increase our operating costs, force the early retirement of one or more of our vessels, and/or affect their resale value, all of which could have a material adverse effect on our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Environmental Regulations — International Maritime Organization (“IMO”)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IMO, the United Nations agency for maritime safety and the prevention of pollution by ships, has negotiated international conventions relating to pollution by ships. In 1973, IMO adopted the International Convention for the Prevention of Pollution from Ships (“MARPOL”), and has been periodically updating it with relevant amendments. MARPOL addresses pollution from ships by oil, noxious liquid substances carried in bulk, harmful substances carried by sea in packaged form, sewage, garbage, and air emissions. Vessels owned and operated by our Shipping Subsidiaries are subject to standards imposed by the IMO.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1997, the IMO adopted MARPOL Annex VI to address air pollution from ships. Effective in May 2005, Annex VI set limits on sulfur oxides (“SOx”) and nitrogen oxide (“NOx”) emissions from ship exhausts and prohibited deliberate emissions of ozone depleting substances, such as chlorofluorocarbons. Annex VI also included a global cap on the sulfur content of fuel oil and allowed for special areas to be established with more stringent controls on emissions. Options for complying with the requirements of Annex VI include use of low sulfur fuels, modifications to vessel engines, or the addition of post combustion emission controls. Annex VI has been ratified by some, but not all IMO member states. Vessels that are subject to Annex VI must obtain an International Air Pollution Prevention Certificate evidencing compliance with Annex VI. In October 2008, the IMO adopted amendments to Annex VI, and the United States ratified the Annex VI amendments in October 2008.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in 2011 the amendments required a progressive reduction of sulfur levels in bunker fuels to be phased in by 2020 and imposed more stringent NOx emission standards on marine diesel engines, depending on their date of installation. Since January 1, 2020, the amended Annex VI required that fuel oil contain no more than 0.50% sulfur. It is up to individual parties to MARPOL to enforce fines and sanctions, and several major port state regimes have announced plans to do so. We may incur costs to comply with the amended Annex VI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have no committed capital expenditure obligations or plans for the installation of scrubbers on our vessels. To comply with emissions regulations, our vessels are not retrofitted with scrubbers need to use low sulfur fuel containing 0.5% sulfur content, which is currently more expensive than standard marine fuel containing 3.5% sulfur content. If the cost differential between low sulfur fuel and high sulfur fuel is significantly higher than anticipated, or if low sulfur fuel is not available at ports on certain trading routes, it may not be feasible or competitive to operate vessels on certain trading routes without installing scrubbers or without incurring deviation time to obtain compliant fuel. Our vessels may therefore face difficulties in competing with vessels equipped with scrubbers.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 stringent emission standards apply in coastal areas designated by the IMO as SOx Emission Control Areas, or ECAs, such as the Baltic and North Seas, United States (including Hawaii) and Canadian (including the French territories of St. Pierre and Miquelon) coastal areas, and the United States Caribbean Sea (including Puerto Rico and the US Virgin Islands). Similar restrictions apply in Icelandic and inland Chinese waters. Specifically, as of January 1, 2019, China expanded the scope of its Domestic Emission Control Areas to include all coastal waters within 12 nautical miles of the mainland. Vessels operating within an ECA or an area with equivalent standards must use fuel with a sulfur content that does not exceed 0.10%.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two new NOx ECAs, the Baltic Sea and the North Sea, will be enforced for ships constructed (keel laying) on or after January 1, 2021, or existing ships which replace an engine with “non-identical” engines, or install an “additional” engine. Other ECAs may be designated, and the jurisdictions in which our vessels operate may adopt more stringent emission standards independent of IMO. We have obtained International Air Pollution Prevention Certificates for all of our vessels and believe they are compliant in all material respects with current Annex VI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countries have ratified and follow the liability plan adopted by the IMO and set out in the International Convention on Civil Liability for Oil Pollution Damage of 1969 (the “CLC”) (the United States, with its separate OPA regime described below, is not a party to the CLC). This convention generally applies to vessels that carry oil in bulk as cargo. Under this convention and depending on whether the country in which the damage results is a party to the 1992 Protocol to the CLC, the registered owner of a regulated vessel is strictly liable for pollution damage in the territorial waters or exclusive economic zone of a contracting state caused by the discharge of any oil from the ship, subject to certain defenses. Under an amendment to the 1992 Protocol that became effective on November 1, 2003, for vessels of 5,000 to 140,000 gross tons, liability per incident is limited to 4.51 million Special Drawing Rights (“SDR”) plus 631 SDR for each additional gross ton over 5,000. For a vessel over 140,000 gross tons, liability is limited to 89.77 million SDR. The SDR is an International Monetary Fund unit pegged to a basket of currencies. The right to limit liability under the CLC is forfeited where the spill is caused by the owner’s actual fault and, under the 1992 Protocol, where the spill is caused by the owner’s intentional or reckless conduct. Vessels trading in states that are parties to the CLC must provide evidence of insurance covering the liability of the owner. In jurisdictions where the CLC has not been adopted, various legislative schemes or common law regimes govern, and liability is imposed either on the basis of fault or in a manner similar to that convention. We believe that our protection and indemnity insurance will cover any liability under the CLC.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2001, the IMO adopted the International Convention on Civil Liability for Bunker Oil Pollution Damage, or the Bunker Convention, which imposes strict liability on ship owners for pollution damage caused by discharges of bunker oil in jurisdictional waters of ratifying states. The Bunker Convention also requires registered owners of ships over 1,000 gross tons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Because the Bunker Convention does not apply to pollution damage governed by the CLC, it applies only to discharges from any of our vessels that are not transporting oil. The Bunker Convention entered into force on November 21, 2008. Liability limits under the Bunker Convention were increased as of June 2015. In jurisdictions where the Bunker Convention has not been adopted, such as the United States, liability for spill or releases of oil from ship’s bunkers typically is determined by national or other domestic laws in the jurisdiction where the events occur.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IMO adopted the BWM Convention in February 2004. The Convention’s implementing regulations call for a phased introduction of mandatory ballast water exchange requirements, to be replaced in time with mandatory concentration limits. The BWM Convention took effect on September 8, 2017. Many of the implementation dates originally contained in the BWM Convention had already passed prior to its effectiveness, so that the period for installation of mandatory ballast water exchange requirements would be very short, with several thousand ships per year needing to install the systems. Consequently, the IMO Assembly passed a resolution in December 2013 revising the dates for implementation of the ballast water management requirements so that they are triggered by the entry into force date. In effect, this makes all vessels constructed before September 8, 2017 “existing” vessels, allowing for the installation of ballast water management systems on such vessels at the first renewal International Oil Pollution Prevention (“IOPP”) survey following entry into force of the BWM Convention. In July 2017, the implementation scheme was further changed to require vessels with IOPP certificates expiring between September 8, 2017 and September 8, 2019 to comply at their second IOPP renewal. All ships must have installed a ballast water treatment system by September 8, 2024. Each vessel in our current fleet has ballast water treatment systems installed and has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been issued with an International Ballast Water Management Certificate by the classification society with respect to the applicable IMO regulations and guidelines. The cost of compliance could increase for our vessels as a result of these requirements, although it is difficult to predict the overall impact of such a requirement on our operations.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operation of our vessels is also affected by the requirements set forth in the ISM Code of the IMO. The ISM Code requires ship owners and bareboat charterers to develop and maintain an extensive SMS that includes the adoption of a safety and environmental protection policy setting forth instructions and procedures for safe operation and describing procedures for dealing with emergencies. Vessel operators must obtain a “Safety Management Certificate” from the government of the vessel’s flag state to verify that it is being operated in compliance with its approved SMS. The failure of a ship owner or bareboat charterer to comply with the ISM Code may subject such party to increased liability, decrease available insurance coverage for the affected vessels and result in a denial of access to, or detention in, certain ports. Currently, each of the vessels in our fleet is ISM code-certified. However, there can be no assurance that such certification will be maintained indefinitely.</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Climate Control Initiatives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Kyoto Protocol requires adopting countries to implement national programs to reduce emissions of greenhouse gases, emissions of greenhouse gases from global maritime shipping are not currently subject to the Kyoto Protocol. The Kyoto Protocol was extended to 2020 at the 2012 United Nations Climate Change Conference, with the hope that a new climate change treaty would be adopted by 2015 and come into effect by 2020. The Paris Agreement adopted under the United Nations Framework Convention on Climate Change in December 2015 contemplates commitments from each nation party thereto to take action to reduce greenhouse gas emissions and limit increases in global temperatures but did not include any restrictions or other measures specific to shipping emissions. However, restrictions on shipping emissions are likely to continue to be considered and a new treaty may be adopted in the future that includes restrictions on shipping emissions. International or multi-national bodies or individual countries may adopt their own climate change regulatory initiatives.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IMO’s Marine Environment Protection Committee adopted two sets of mandatory requirements to address greenhouse gas emissions from shipping that entered into force in January 2013. The Energy Efficiency Design Index establishes minimum energy efficiency levels per capacity mile and applies to new vessels of 400 gross tons or greater. Currently operating vessels must develop and implement Ship Energy Efficiency Plans. By 2025, all new ships built must be 30% more energy efficient than those built in 2014, but it is likely that the IMO will increase these requirements such that new ships must be up to 50% more energy efficient than those built in 2014 by 2022. These new requirements could cause us to incur additional costs to comply. Draft MARPOL amendments released in November 2020 and adopted in June 2021 build on the EEDI and SEEMP by requiring ships to reduce carbon intensity based on a new Energy Efficiency Existing Ship Index and reduce operational carbon intensity reductions based on a new operational carbon intensity indicator, in line with the IMO strategy which aims to reduce carbon intensity of global maritime shipping by 40% by 2030. The EEXI, which entered into force in January 2023, requires alterations to a vessel’s design, machinery or arrangements to meet a certain goal of CO2 grams emitted per capacity tonne mile under certain reference conditions. This measure accounts for the vessel’s engine power, fuel consumption and CO2 conversion capacity, all of which make it impossible to effect EEXI compliance by merely reducing the ship’s speed or cargo load. Alongside the EEXI, a mandatory Carbon Intensity Indicator (“CII”) was introduced on January 1, 2023. This measure of annual efficiency is used to rate vessels based on the grams of CO2 they emit per dwt-mile, giving all cargo vessels above 5,000 GT a rating of A to E every year. The rating thresholds will become increasingly stringent towards 2030. For ships that achieve a D rating for three consecutive years or an E rating, a corrective action plan needs to be developed as part of the SEEMP and approved. These changes were accompanied by the introduction of the so-called “Enhanced SEEMP,” a strengthened version of SEEMP that includes new mandatory content, such as a CII target implementation plan, on top of being subject to approval by appropriate authorities. These new requirements for existing ships will be reviewed by the end of 2025, with particular focus on the enforcement of the carbon intensity rating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IMO is also considering the development of market-based mechanisms for limiting greenhouse gas emissions from ships, but it is impossible to predict the likelihood of adoption of such a standard or the impact on our operations. In April 2015, the EU adopted regulations requiring the monitoring and reporting of greenhouse gas emissions from marine vessels (of over 5,000 gross tons) which went into effect in January 2018. In June 2022, the European Union revised proposed amendments to these regulations which would effectively impose an Emissions Trading System (“ETS”) on Marine Shipping going through ports or routes under the E.U.’s regulatory jurisdiction. If adopted, these amendments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would impose an additional regulatory burden on us to confirm that our vessels meet the revised EU requirements, as well as potential additional costs related to the ETS. The EPA has issued a finding that greenhouse gas emissions endanger the public health and safety and has adopted regulations under the Clean Air Act to limit emissions of greenhouse gases from certain mobile sources and proposed regulations to limit greenhouse gas emissions from large stationary sources, although the mobile source regulations do not apply to greenhouse gas emissions from vessels. Any passage of climate control initiatives by the IMO, the EU or the individual countries in which we operate that limit greenhouse gas emissions from vessels could require us to limit our operations or make significant financial expenditures that we cannot predict with certainty at this time. Passage of climate control initiatives that affect the demand for oil may also materially affect our business. Even in the absence of climate control legislation and regulations, our business may be materially affected to the extent that climate change may result in sea level changes or more intense weather events.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China Maritime Safety Administration (the “China MSA”) issued the Regulation on Data Collection of Energy Consumption for Ships in November 2018. This regulation became effective on January 1, 2019 and requires ships calling on Chinese ports to report fuel consumption and transport work details directly to the China MSA. This regulation also contains additional requirements for Chinese-flagged vessels (domestic and international) and other non-Chinese-flagged international navigating vessels. In November 2022, the China MSA published an additional Regulation of Administrative Measures of Ship Energy Consumption Data and Carbon Intensity, which came into effect on December 22, 2022. This regulation was essentially enacted to implement MARPOL Annex VI to Chinese-flagged vessels, though a few of its provisions also apply to foreign ships with a gross tonnage of at least 400 entering and exiting Chinese ports. This Regulation essentially applies more stringent rules around that collection and reporting of data related to ships’ energy consumption, as is already required by the 2018 regulation.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29, 2017, the Global Industry Alliance, or the GIA, was officially inaugurated. The GIA is a program, under the Global Environmental Facility-United Nations Development Program-IMO project, which supports shipping, and related industries, as they move towards a low carbon future. Organizations including, but not limited to, ship owners, operators, classification societies, and oil companies, signed to launch the GIA. In addition, the United States is currently experiencing changes in its environmental policy, the results of which have yet to be fully determined.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legislation or regulation applicable to the operation of our ships that may be implemented in the future could negatively affect our profitability. Furthermore, recent action by the IMO’s Maritime Safety Committee and U.S. agencies indicate that cybersecurity regulations for the maritime industry are likely to be further developed in the near future in an attempt to combat cybersecurity threats, as described below. This might cause companies to cultivate additional procedures for monitoring cybersecurity, which could require additional expenses and/or capital expenditures. However, the impact of such regulations is difficult to predict at this time.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Vessel Security Regulations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initiatives intended to enhance vessel security have been proposed since the terrorist attack on September 11, 2001. On November 25, 2002, the Maritime Transportation Security Act of 2002, or MTSA, came into effect in the United States. To implement certain portions of the MTSA, in July 2003, the United States Coast Guard issued regulations requiring the implementation of certain security requirements aboard vessels operating in waters subject to the jurisdiction of the United States. Similarly, in December 2002, amendments to the International Convention for the Safety of Life at Sea, or SOLAS, created a new chapter of the convention dealing specifically with maritime security. The chapter went into effect in July 2004, and imposes various detailed security obligations on vessels and port authorities, most of which are contained in the newly created International Ship and Port Facilities Security or, ISPS, Code. Among the various requirements 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on-board installation of automatic information systems, or AIS, to enhance vessel-to-vessel and vessel-to-shore communications;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on-board installation of ship security alert systems;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development of vessel security plans;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flag state security certification requirements.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United States Coast Guard regulation’s aim to align with international maritime security standards exempted non-United States vessels from MTSA vessel security measures provided such vessels have on board, by July 1, 2004, a valid International Ship Security Certificate (“ISSC”) that attests to the vessel’s compliance with SOLAS security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requirements and the ISPS Code. We have obtained ISSCs for all of our vessels and implemented the various security measures addressed by the MTSA, SOLAS and the ISPS Codes to confirm that our vessels attain compliance with all applicable security requirements within the prescribed time periods. We do not believe these requirements will have a material financial impact on our operations.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IMO Cyber Security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Maritime Safety Committee, at its 98th session in June 2017, adopted Resolution MSC.428(98) — Maritime Cyber Risk Management in Safety Management Systems. The resolution encourages administrations to confirm that cyber risks are appropriately addressed in existing safety management systems (as defined in the ISM Code) no later than the first annual verification of the company’s Document of Compliance after January 1, 2021. Owners risk having ships detained if they have not included cyber security in the SMS of ships by January 1, 2021.</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Vessel Recycling Regulations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EU has adopted a regulation aiming to facilitate the ratification of the IMO Recycling Convention and setting forth rules relating to vessel recycling and management of hazardous materials on vessels. In addition to new requirements for the recycling of vessels, the new regulation contains rules for the control and proper management of hazardous materials on vessels and prohibits or restricts the installation or use of certain hazardous materials on vessels. The new regulation applies to vessels flying the flag of an EU member state and certain of its provisions apply to vessels flying the flag of a third country calling at a port or anchorage of a member state. For example, when calling at a port or anchorage of a member state, a vessel flying the flag of a third country will be required, among other things, to have on board an inventory of hazardous materials that complies with the requirements of the new regulation and the vessel must be able to submit to the relevant authorities of that member state a copy of a statement of compliance issued by the relevant authorities of the country of the vessel’s flag verifying the inventory. The new regulation took effect on non-EU-flagged vessels calling on EU ports on December 31, 2020.</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Flag state regulations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ship must be registered in a country and sailed under the flag of the country which that ship is registered (the “Flag State”). The effect is that the ship will have a nationality. Even in another state’s territorial waters, those on board of the ship are also subject to the law of the Flag State. The ship is subject to the jurisdiction of the Flag State and the Flag State can exercise regulatory control over the ship that sails under its flag. The jurisdiction and regulatory controls involve inspection, certification and the issue of papers in relation to safety and pollution prevention pursuant to the applicable international conventions and national laws. The vessels owned or chartered by us are registered in Hong Kong and Marshall Islands. In addition to the international convention, the vessels owned or chartered by our Group are also subject to the applicable laws, regulations and requirements of Hong Kong and Marshall Islands.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Hong Kong laws and regulations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we conduct business in Hong Kong through our Shipping Subsidiaries, our business operations are subject to various regulations and rules promulgated by the Hong Kong government. The following is a brief summary of the Hong Kong laws and regulations that currently and materially affect our business. This section does not purport to be a comprehensive summary of all present and proposed regulations and legislation relating to the industries in which we operate.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Personal Data (Privacy) Ordinance (Chapter 486 of the Laws of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Personal Data (Privacy) Ordinance (Chapter 486 of the Laws of Hong Kong) (the “PDPO”) provides the principles that a person who, either alone or jointly or in common with other persons, controls the collection, holding, processing or use of personal data (a “Data User”) must follow in respect of any acts concerning information, existing in a form which access to or processing of is practicable, which relates to a living individual and can be used to identify that individual (the “Personal Data”). Contravention with the PDPO may entitle the Privacy Commissioner for Personal Data (the “Commissioner”) to issue a written enforcement notice (the “Enforcement Notice”) directing such Data User to remedy and prevent recurrence of contravention.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the Data User can provide reasons acceptable to the Commissioner, contravention with the Enforcement Notice is an offence and the offender is liable to fine, and imprisonment and a daily penalty.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Business Registration Ordinance (Chapter 310 of the Laws of Hong Kong) (“BRO”)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we carry on businesses in Hong Kong, we are subject to BRO, which requires every person (a company or an individual) carrying on a business in Hong Kong to register with the Inland Revenue Department of Hong Kong and obtain a business registration certificate within one month of the commencement of the business. Business registration is a process based on application and does not involve government approval. Once the requisite criteria are met, a business registration certificate in Hong Kong will be granted. Business registration serves to notify the Inland Revenue Department in Hong Kong of the establishment of a business in Hong Kong and facilitate the collection of tax from businesses in Hong Kong.</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Inland Revenue Ordinance (Chapter 112 of the Laws of Hong Kong) (“IRO”)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IRO is an ordinance for the purposes of imposing taxes on property, earnings and profits in Hong Kong. The IRO provides, among others, that persons, which include corporations, partnerships, trustees and bodies of persons, carrying on any trade, profession or business in Hong Kong are chargeable to tax on all profits (excluding profits arising from the sale of capital assets) arising in or derived from Hong Kong from such trade, profession or business. The standard profits tax rate for corporations is at 16.5%. Under the two-tiered profits tax rates regime, commencing from the year of assessment 2018/2019, the first two million of profits in Hong Kong dollars earned by a Hong Kong entity (except those with a connected entity which is nominated to be chargeable at the two-tiered rates) will be taxed at half the current tax rate (i.e., 8.25%) while the remaining profits will continue to be taxed at the existing 16.5% tax rate. In other words, within a group of connected entities, only one entity can enjoy the two-tiered profits tax rates. IRO also contains provisions relating to, among others, permissible deductions for outgoings and expenses, set-offs for losses and allowances for depreciation.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IRO contains provisions which require the adoption of the arm’s length principle for pricing in related party transactions. Section 20A of the IRO gives the Inland Revenue Department (the “IRD”) wide powers to collect tax due from non-residents. The IRD may also make transfer pricing adjustments by disallowing expenses incurred by the Hong Kong resident under sections 16(1), 17(1)(b) and 17(1)(c) of the IRO and challenging the entire arrangement under general anti-avoidance provisions, such as sections 61 and 61A of the IRO.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Section 23B of the IRO,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Competition Ordinance (Chapter 619 of the Laws of Hong Kong) (“Competition Ordinance”)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Competition Ordinance laid down three forms of behavior and imposes three rules which are intended to prevent and discourage anti-competitive conduct: (i) the first conduct rule prohibits agreements between undertakings that have the object or effect of preventing, restricting and distorting competition in Hong Kong; (ii) the second conduct rule prohibits undertakings with a substantial degree of market power in a market from abusing that power by engaging in conduct that has the object or effect of preventing, restricting and distorting competition in Hong Kong; and (iii) the merger rule prohibits mergers involving carrier licence holders within the meaning of the Telecommunications Ordinance (Chapter 106 of the Laws of Hong Kong) that have or are likely to have the effect of substantially lessening competition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Competition Commission is a statutory body in Hong Kong established to investigate any contravention against and enforce on the provisions of the Competition Ordinance, and the Competition Tribunal is a tribunal set up under the Competition Ordinance, as part of Hong Kong judiciary, to hear and decide cases connected with competition law in Hong Kong. Under the guidelines and policies published by the Competition Commission, possible outcomes of investigation of contravention of the Competition Ordinance may include the acceptance of commitment given by infringer, the issuing of warning notice or infringement notice, commencement of proceedings in the Competition Tribunal, applying for consent order, referral of complaint to a government agency and the conduct of a market study. The Competition Tribunal may order remedies including pecuniary penalty, disqualification or other order under the Competition Ordinance.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guidelines and policies published by the Competition Commission in Hong Kong did not mention any remedies which may impact on the Company’s ability to accept foreign investment or list on a U.S./foreign exchange as a result of the non-compliance of the Competition Ordinance.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Merchant Shipping Ordinance (Chapter 281 of the Laws of Hong Kong) (“MSO”)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MSO principally deals with (a) registration and licensing of ships; (b) forfeiture of ship; (c) compulsory third party risks insurance; and (d) detention of ships. Under the MSO, there are three subsidiary legislations applicable to us which comprise Merchant Shipping (Forms) Regulations, Merchant Shipping (Fees) Regulations and Merchant Shipping (Marine Courts) Regulations, relating mainly to forms and fees for the purpose of the MSO or of regulations under the MSO, and formal investigations into casualties and inquiries into charges of incompetency or misconduct.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Merchant Shipping (Registration) Ordinance (Chapter 415 of the Laws of Hong Kong) (“MS(R)O”)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MS(R)O provides for the registration of ships and mortgages of ships in Hong Kong. According to the MS(R)O, a ship subject to a demise charterparty may be registered in Hong Kong if the demise charterer or lessee of that ship is a “qualified person” as defined in MS(R)O. There is no requirement that a ship owned by a qualified person must be registered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Qualified persons under MS(R)O include: (i) an individual who is a resident of Hong Kong and holds a valid Hong Kong identity card; (ii) a company incorporated in Hong Kong; and (iii) a company incorporated outside Hong Kong, but which has established a place of business in Hong Kong and has registered under the Companies Ordinance in Hong Kong as “an oversea company” with a place of business in Hong Kong. The HK Subsidiaries fall within the definition of “qualified persons”.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MS(R)O, there are subsidiary legislations applicable to us which include, among others, Merchant Shipping (Registration) (Fees and Charges) Regulations (Chapter 415A of the Laws of Hong Kong), Merchant Shipping (Registration) (Ships’ Names) Regulations (Chapter 415B of the Laws of Hong Kong) and the Merchant Shipping (Registration) (Tonnage) Regulations (Chapter 415C of the Laws of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Registrar of Ships of Hong Kong is responsible for keeping a register for ships registered or provisionally registered under the MS(R)O. The register shall contain particulars in respect of ships, owners and their respective interests in ships, demise charterers, mortgagees and representative persons as are prescribed.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Merchant Shipping (Safety) Ordinance (Chapter 369 of the Laws of Hong Kong) (“MS(S)O”) and Merchant Shipping (Prevention and Control of Pollution) Ordinance (Chapter 413 of the Laws of Hong Kong) (“MS(PC)O”)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 is an Associate Member of the International Maritime Organization (IMO) and has accepted the international conventions relating to safety and protection of the marine environment. These conventions are implemented through regulations made under the MS(S)O and MS(PC)O and regulates the safety and prevention and control of pollution issues of Hong Kong ships.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Merchant Shipping (Liability and Compensation for Oil Pollution) Ordinance (Chapter 414 of the Laws of Hong Kong) (“MS(LCOP)O”)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MS(LCOP)O provides for the legislative framework in enforcing claims against the shipowners where any persistent oil carried by the ship is discharged or escaped from the ship resulting in pollution and damage.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Air Pollution Control (Fuel for Vessels) Regulations (Chapter 311AB of the Laws of Hong Kong) (“APC(FV)R”)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APC(FV)R regulates the air pollution from the marine sector and implements marine emission standards. A statutory cap of 0.05% on the sulfur content of locally supplied marine light diesel (MLD) has been imposed, which primarily affects local vessels. Ocean-going vessels (OGVs) are also required to switch to compliant fuel while at berth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International Maritime Organization (IMO) requires the sulfur content in fuel oil to be less than 0.5%. The prohibition applies to vessels within the waters of Hong Kong. During its stay in the waters of Hong Kong, a vessel is prohibited from using any fuel other than compliant fuel for combustion purposes for operating any of its specified machinery, which includes the main engine, auxiliary engine, boiler and generator.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Compliant fuel required by the APC(FV)R includes low-sulfur marine fuel with sulfur content not exceeding 0.5%, liquefied natural gas or any other fuel approved by the authority.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owner and master of OGVs in the waters of Hong Kong must record the following particulars in a log book of the vessel as soon as practicable: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date and time when the vessel enters and exits the waters of Hong Kong;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date and time when a fuel switch operation to compliant fuel is completed on the vessel;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vessel’s position, and the volume and sulfur content of the compliant fuel carried on the vessel for operating its specified machinery when a fuel switch operation to compliant fuel is completed on the vessel;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date and time when a fuel switch operation to non-compliant fuel commences on the vessel;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vessel’s position, and the volume and sulfur content of the compliant fuel carried on the vessel for operating its specified machinery when a fuel switch operation to non-compliant fuel commences on the vessel.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Merchant Shipping (Collision Damage Liability and Salvage) Ordinance (Chapter 508 of the Laws of Hong Kong) (“MS(CDLS)O”)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MS(CDLS)O governs the law relating to salvage operations. This Ordinance incorporates the International Convention on Salvage 1989, thereby bringing this aspect of Hong Kong law in line with international laws.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Carriage of Goods by Sea Ordinance (Chapter 462 of the Laws of Hong Kong) (“CGSO”)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CGSO incorporates the Hague-Visby Rules which governs the rights and liabilities (and the limitation of such liabilities) of the parties (including the shipowners) relating to the transportation of goods by sea. Whilst most of the member states to the international conventions simply adopt the requirements of the international conventions by incorporating the same in its national laws, the Flag State requirements of some states may be different or extended to aspects which are not addressed in the international conventions.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Dangerous Goods Ordinance (Chapter 295 of the Laws of Hong Kong) (“DGO”)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8 of the DGO, no person (including a body corporate) shall, inter alia, supply vessels or equipment for loading, discharging or moving dangerous goods on vessels except under and in accordance with a licence (or permit) issued under the DGO.</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Occupiers Liability Ordinance (Chapter 314 of the Laws of Hong Kong) (“OLO”)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OLO regulates the obligations of a person occupying or having control of premises on injury resulting to persons or damage caused to goods or other property lawfully on the land.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OLO imposes a common duty of care on an occupier of a premise to take reasonable care of the premise in all circumstances so as to ensure that his visitor will be reasonably safe in using the premises for the purposes for which he is invited or permitted by the occupier to be there.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Employment Ordinance </w:t>
      </w:r>
      <w:r>
        <w:rPr>
          <w:rFonts w:ascii="Times New Roman PS Std;serif" w:hAnsi="Times New Roman PS Std;serif"/>
          <w:b w:val="false"/>
          <w:i w:val="false"/>
          <w:caps w:val="false"/>
          <w:smallCaps w:val="false"/>
          <w:sz w:val="20"/>
        </w:rPr>
        <w:t>(Chapter 57 of the Laws of Hong Kong) (“EO”)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EO, all employees covered by the EO, irrespective of their hours of work, are entitled to basic protection under the EO including but not limited to payment of wages, restrictions on wages deductions and the granting of statutory holidays. According to the Employment Ordinance, an employer who willfully and without reasonable excuse fails to pay wages to an employee when it becomes due is liable to fine and imprisonment. Employees who are employed under a continuous contract are further entitled to such benefits as rest days, paid annual leave, sickness allowance, severance payment and long service payment, etc.</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Mandatory Provident Fund Schemes Ordinance (</w:t>
      </w:r>
      <w:r>
        <w:rPr>
          <w:rFonts w:ascii="Times New Roman PS Std;serif" w:hAnsi="Times New Roman PS Std;serif"/>
          <w:b w:val="false"/>
          <w:i w:val="false"/>
          <w:caps w:val="false"/>
          <w:smallCaps w:val="false"/>
          <w:sz w:val="20"/>
        </w:rPr>
        <w:t>Chapter 485 of the Laws of Hong Kong</w:t>
      </w:r>
      <w:r>
        <w:rPr>
          <w:rFonts w:ascii="Times New Roman PS Std;serif" w:hAnsi="Times New Roman PS Std;serif"/>
          <w:b w:val="false"/>
          <w:i/>
          <w:caps w:val="false"/>
          <w:smallCaps w:val="false"/>
          <w:sz w:val="20"/>
        </w:rPr>
        <w:t>) (“</w:t>
      </w:r>
      <w:r>
        <w:rPr>
          <w:rFonts w:ascii="Times New Roman PS Std;serif" w:hAnsi="Times New Roman PS Std;serif"/>
          <w:b w:val="false"/>
          <w:i w:val="false"/>
          <w:caps w:val="false"/>
          <w:smallCaps w:val="false"/>
          <w:sz w:val="20"/>
        </w:rPr>
        <w:t>MPFSO</w:t>
      </w:r>
      <w:r>
        <w:rPr>
          <w:rFonts w:ascii="Times New Roman PS Std;serif" w:hAnsi="Times New Roman PS Std;serif"/>
          <w:b w:val="false"/>
          <w:i/>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MPFSO, every employer must take all practicable steps to ensure that the employee becomes a member of a Mandatory Provident Fund (MPF) scheme. Section 7A of the MPFSO requires an employer who is employing a relevant employee to, for each contribution period occurring after that commencement (i) from the employer’s own funds, contribute to the relevant registered scheme the amount determined in accordance with MPFSO; and (ii) deduct from the employee’s relevant income for that period as a contribution by the employee to that scheme the amount determined in accordance with MPFSO. Under the MPF Scheme, the employer and its employees are each required to make contributions to the plan at 5% of the employees’ relevant income, subject to the minimum and maximum relevant income levels. For monthly-paid employees, the minimum and maximum relevant income levels are HK$7,100 and HK$30,000 respectively. An employer who fails to comply with such a requirement may face a fine and imprisonment.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Employees’ Compensation Ordinance </w:t>
      </w:r>
      <w:r>
        <w:rPr>
          <w:rFonts w:ascii="Times New Roman PS Std;serif" w:hAnsi="Times New Roman PS Std;serif"/>
          <w:b w:val="false"/>
          <w:i w:val="false"/>
          <w:caps w:val="false"/>
          <w:smallCaps w:val="false"/>
          <w:sz w:val="20"/>
        </w:rPr>
        <w:t>(Chapter 282 of the Laws of Hong Kong) (“ECO”)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ECO, all employers are required to take out insurance policies to cover their liabilities under the ECO and at common law for injuries or death at work in respect of all of their employees. Under the ECO, if an employee sustains injuries or dies as a result of an accident arising out of and in the course of employment, the employer is generally liable to pay compensation even if the employee might have committed acts of faults or negligence when the accident occurred. An employer failing to do so may be liable to a fine and imprisonment.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 xml:space="preserve">Minimum Wage Ordinance </w:t>
      </w:r>
      <w:r>
        <w:rPr>
          <w:rFonts w:ascii="Times New Roman PS Std;serif" w:hAnsi="Times New Roman PS Std;serif"/>
          <w:b w:val="false"/>
          <w:i w:val="false"/>
          <w:caps w:val="false"/>
          <w:smallCaps w:val="false"/>
          <w:sz w:val="20"/>
        </w:rPr>
        <w:t>(Chapter 608 of the Laws of Hong Kong) (“MWO”)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MWO, an employee is entitled to be paid wages no less than the statutory minimum wage rate during the wage period. With effect from May 1, 2026, the statutory minimum hourly wage rate is HK$32.1. Failure to comply with MWO constitutes an offence under EO.</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Occupational Safety and Health Ordinance (Chapter 509 of the Laws of Hong Kong) (the “OSHO”)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OSHO, employers must as far as reasonably practicably ensure the safety and health of their employees in workplace. An employer who fails to ensure the safety and health of employees in a workplace is liable on conviction to fine and imprisonment.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4" w:name="T11"/>
      <w:bookmarkEnd w:id="14"/>
      <w:r>
        <w:rPr>
          <w:rFonts w:ascii="Times New Roman PS Std;serif" w:hAnsi="Times New Roman PS Std;serif"/>
          <w:b/>
          <w:i w:val="false"/>
          <w:caps w:val="false"/>
          <w:smallCaps w:val="false"/>
          <w:sz w:val="20"/>
        </w:rPr>
        <w:t xml:space="preserve">MANAGEMENT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Executive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Intercont’s executive officers and directors as of the date of this prospectus.</w:t>
      </w:r>
    </w:p>
    <w:tbl>
      <w:tblPr>
        <w:tblW w:w="10205" w:type="dxa"/>
        <w:jc w:val="left"/>
        <w:tblInd w:w="0" w:type="dxa"/>
        <w:tblLayout w:type="fixed"/>
        <w:tblCellMar>
          <w:top w:w="0" w:type="dxa"/>
          <w:left w:w="0" w:type="dxa"/>
          <w:bottom w:w="0" w:type="dxa"/>
          <w:right w:w="0" w:type="dxa"/>
        </w:tblCellMar>
      </w:tblPr>
      <w:tblGrid>
        <w:gridCol w:w="3325"/>
        <w:gridCol w:w="146"/>
        <w:gridCol w:w="556"/>
        <w:gridCol w:w="146"/>
        <w:gridCol w:w="6032"/>
      </w:tblGrid>
      <w:tr>
        <w:trPr/>
        <w:tc>
          <w:tcPr>
            <w:tcW w:w="33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Directors and Executive Officers</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603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Position/Title</w:t>
            </w:r>
          </w:p>
        </w:tc>
      </w:tr>
      <w:tr>
        <w:trPr/>
        <w:tc>
          <w:tcPr>
            <w:tcW w:w="3325"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Muchun Zhu</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tcPr>
          <w:p>
            <w:pPr>
              <w:pStyle w:val="TableContents"/>
              <w:bidi w:val="0"/>
              <w:spacing w:before="0" w:after="283"/>
              <w:jc w:val="left"/>
              <w:rPr/>
            </w:pPr>
            <w:r>
              <w:rPr/>
              <w:t> </w:t>
            </w:r>
          </w:p>
        </w:tc>
        <w:tc>
          <w:tcPr>
            <w:tcW w:w="6032"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 of the Board of Directors</w:t>
            </w:r>
          </w:p>
        </w:tc>
      </w:tr>
      <w:tr>
        <w:trPr/>
        <w:tc>
          <w:tcPr>
            <w:tcW w:w="332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Qingyuan Wang</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w:t>
            </w:r>
          </w:p>
        </w:tc>
        <w:tc>
          <w:tcPr>
            <w:tcW w:w="146" w:type="dxa"/>
            <w:tcBorders/>
          </w:tcPr>
          <w:p>
            <w:pPr>
              <w:pStyle w:val="TableContents"/>
              <w:bidi w:val="0"/>
              <w:spacing w:before="0" w:after="283"/>
              <w:jc w:val="left"/>
              <w:rPr/>
            </w:pPr>
            <w:r>
              <w:rPr/>
              <w:t> </w:t>
            </w:r>
          </w:p>
        </w:tc>
        <w:tc>
          <w:tcPr>
            <w:tcW w:w="603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 and Director</w:t>
            </w:r>
          </w:p>
        </w:tc>
      </w:tr>
      <w:tr>
        <w:trPr/>
        <w:tc>
          <w:tcPr>
            <w:tcW w:w="3325"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Schumann</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CCEEFF" w:val="clear"/>
          </w:tcPr>
          <w:p>
            <w:pPr>
              <w:pStyle w:val="TableContents"/>
              <w:bidi w:val="0"/>
              <w:spacing w:before="0" w:after="283"/>
              <w:jc w:val="left"/>
              <w:rPr/>
            </w:pPr>
            <w:r>
              <w:rPr/>
              <w:t> </w:t>
            </w:r>
          </w:p>
        </w:tc>
        <w:tc>
          <w:tcPr>
            <w:tcW w:w="6032"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r>
      <w:tr>
        <w:trPr/>
        <w:tc>
          <w:tcPr>
            <w:tcW w:w="332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Dahong Li</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w:t>
            </w:r>
          </w:p>
        </w:tc>
        <w:tc>
          <w:tcPr>
            <w:tcW w:w="146" w:type="dxa"/>
            <w:tcBorders/>
          </w:tcPr>
          <w:p>
            <w:pPr>
              <w:pStyle w:val="TableContents"/>
              <w:bidi w:val="0"/>
              <w:spacing w:before="0" w:after="283"/>
              <w:jc w:val="left"/>
              <w:rPr/>
            </w:pPr>
            <w:r>
              <w:rPr/>
              <w:t> </w:t>
            </w:r>
          </w:p>
        </w:tc>
        <w:tc>
          <w:tcPr>
            <w:tcW w:w="6032"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r>
      <w:tr>
        <w:trPr/>
        <w:tc>
          <w:tcPr>
            <w:tcW w:w="3325"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Yuanmei Ma</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w:t>
            </w:r>
          </w:p>
        </w:tc>
        <w:tc>
          <w:tcPr>
            <w:tcW w:w="146" w:type="dxa"/>
            <w:tcBorders/>
            <w:shd w:fill="CCEEFF" w:val="clear"/>
          </w:tcPr>
          <w:p>
            <w:pPr>
              <w:pStyle w:val="TableContents"/>
              <w:bidi w:val="0"/>
              <w:spacing w:before="0" w:after="283"/>
              <w:jc w:val="left"/>
              <w:rPr/>
            </w:pPr>
            <w:r>
              <w:rPr/>
              <w:t> </w:t>
            </w:r>
          </w:p>
        </w:tc>
        <w:tc>
          <w:tcPr>
            <w:tcW w:w="6032"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Independent Director</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Muchun Zhu, </w:t>
      </w:r>
      <w:r>
        <w:rPr>
          <w:rFonts w:ascii="Times New Roman PS Std;serif" w:hAnsi="Times New Roman PS Std;serif"/>
          <w:b w:val="false"/>
          <w:i w:val="false"/>
          <w:caps w:val="false"/>
          <w:smallCaps w:val="false"/>
          <w:sz w:val="20"/>
        </w:rPr>
        <w:t>Chief Executive Officer and Chairman of the Board of the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Zhu has been serving as the chief executive officer and director and Chairman of the board of directors of Intercont since July 2023. Ms. Zhu has over ten years of work experience in finance and investing. Prior to working at Intercont, Ms. Zhu served as a managing director at Beijing Jiulichenwei Investment and Management Company from 2018 to 2023. From 2015 to 2018, Ms. Zhu served as the president and chief executive officer of Innovate Asset Management (Group) Co., Ltd. Ms. Zhu served as a senior investment adviser at Topsheen Shipping Group Limited from 2019 to 2020. Ms. Zhu obtained her bachelor’s degree in business administration from the University of Plymouth in 2005, and her master’s degree in finance and investment from the University of Exeter in 2006.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Qingyuan Wang,</w:t>
      </w:r>
      <w:r>
        <w:rPr>
          <w:rFonts w:ascii="Times New Roman PS Std;serif" w:hAnsi="Times New Roman PS Std;serif"/>
          <w:b w:val="false"/>
          <w:i w:val="false"/>
          <w:caps w:val="false"/>
          <w:smallCaps w:val="false"/>
          <w:sz w:val="20"/>
        </w:rPr>
        <w:t xml:space="preserve"> Chief Financial Officer and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Wang has been serving as the chief financial officer and director of Intercont since September 2024. Ms. Wang served as an Associate Financial Director and Senior Manager of Merck (China) Holding Co., Ltd. from June 2011 to December 2023. Ms. Wang served as a Finance Manager of the Shanghai branch of ThyssenKrupp (China) Investment Co., Ltd. from March 2005 to June 2011. Ms. Wang served as a Finance Manager of Beijing BDQN Technology Co., Ltd. from September 2001 to March 2005. From September 1999 to September 2001, Ms. Wang served as an accountant of Nanjing Dachang Hospital. Ms. Wang obtained her bachelor’s degree in accounting from Nanjing Economic College in 2002. Ms. Wang is a People’s Republic of China certified professional account and an International Certified Public Accountant.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Michael Schumann, </w:t>
      </w:r>
      <w:r>
        <w:rPr>
          <w:rFonts w:ascii="Times New Roman PS Std;serif" w:hAnsi="Times New Roman PS Std;serif"/>
          <w:b w:val="false"/>
          <w:i w:val="false"/>
          <w:caps w:val="false"/>
          <w:smallCaps w:val="false"/>
          <w:sz w:val="20"/>
        </w:rPr>
        <w:t>Independent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Schumann is an independent director of Intercont. Mr. Schumann established Michael Schumann Public Affairs GmbH in 2010 and has been serving has a managing director since then. Mr. Schumann’s other corporate experience also includes serving as a managing director of DELCO International GmbH since 2017, serving as a member of the advisory board of Jiangsu Hexinyuan Investment Management Co. Ltd. from 2020 to 2022, and serving as a managing director of CCC China Coffee Culture Holding GmbH from 2018 to 2019. Additionally, Mr. Schumann has been serving on the board of directors of German Federal Association for Economic Development and Foreign Trade (BWA) e.V. since 2013, and the chairman of the board of directors since 2018. Mr. Schumann also served as a member of the advisory board of OWF East German Economic Forum from 2016 to 2023, a member of the extended board of directors at DJV — German Journalist and Media Association, Berlin Chapter from 2004 to 2014, and the honorary president of MPW — Berlin Forum on Media, Politics, and Economy in 2007. Mr. Schumann obtained his bachelor’s degree in German Literature from the University of Bonn in 1992, and his master’s degree in German Literature from the State University of New York at Binghamton in 1993.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Dahong Li, </w:t>
      </w:r>
      <w:r>
        <w:rPr>
          <w:rFonts w:ascii="Times New Roman PS Std;serif" w:hAnsi="Times New Roman PS Std;serif"/>
          <w:b w:val="false"/>
          <w:i w:val="false"/>
          <w:caps w:val="false"/>
          <w:smallCaps w:val="false"/>
          <w:sz w:val="20"/>
        </w:rPr>
        <w:t>Independent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Li is an independent director of Intercont,. Mr. Li has been working as an executive director and chairman of the board of Grand T G Gold Holdings Limited since 2016, and a managing director at Vision Capital Partners Limited since 2005. From 1995 to 2005, Mr. Li worked as a consultant at World Bank. From 1990 to 1995, Mr. Li worked at Dames &amp; Mores, Inc. as an engineer and manager. In 1982, Mr. Li graduated from Tsinghua University with a bachelor’s degree in civil and environmental engineering. Mr. Li obtained from University of Toronto his Ph.D. degree in civil engineering in 1990.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Yuanmei Ma,</w:t>
      </w:r>
      <w:r>
        <w:rPr>
          <w:rFonts w:ascii="Times New Roman PS Std;serif" w:hAnsi="Times New Roman PS Std;serif"/>
          <w:b w:val="false"/>
          <w:i w:val="false"/>
          <w:caps w:val="false"/>
          <w:smallCaps w:val="false"/>
          <w:sz w:val="20"/>
        </w:rPr>
        <w:t xml:space="preserve"> Independent Director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Ma is an independent director of Intercont,. Ms. Ma served as Chief Financial Officer and director of Thunder Power Holdings, Inc. (Nasdaq: AIEV), a Taiwanese electronic vehicle developer, after its business combination with Feutune Light Acquisition Corporation, a Delaware special purpose acquisition company (SPAC), from June 2024 to September 2024. Previously, she served as the Chief Financial Officer of Feutune Light Acquisition Corporation from January 2022 to June 2024. Before that, she served as the Chief Financial Officer of Aiways Group, an EV company in California from June 2022 to August 2023, and Mayrock Automotive Inc., a zero-emission commercial mobility company in California from September 2020 to June 2022. Between February 2021 and December 2022, Ms. Ma served as the Chief Financial Officer of Fortune Rise Acquisition Corporation (Nasdaq: FLFV), a Nasdaq listed SPAC. Ms. Ma was the director of investor relation at Highpower International Inc., from August 2016 to November 2019; when it was listed on Nasdaq (Formerly Nasdaq: HPJ). From July 2010 to June 2013, Ms. Ma was the Chief Financial Officer for Baosheng Steel Inc. She was Chief Financial Officer of Yihe Pharmaceutical Company Ltd. between August 2009 to June 2010; and Chief Financial Officer of Zhongpin Inc., (Formerly Nasdaq: HOGS), from September 2005 to October 2008. Ms. Ma holds an Executive MBA degree from both INSEAD Business School and Tsinghua University and a Bachelor’s degree in Accounting from Arkansas State University.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Employment Agreements, Director Agreements and Indemnification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has entered into employment agreements with each of its executive officers. Under these agreements, each of its executive officers is employed for three years. Either party may terminate the agreement with one month’s prior written notification.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executive officers are entitled to a fixed salary and other company benefits, each as determined by the board of directors from time to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Intercont’s executive officers has agreed not to release or disclose to anyone any confidential or secret information or knowledge of Intercont, whether developed by him/herself or by others.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set aside or accrued any amount to provide pension, retirement or other similar benefits to our executive officers and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has entered into director agreements with each of its independent directors which agreements set forth the terms and provisions of their engagement.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Intercont has entered into indemnification agreements with each of its directors that provide such persons with additional indemnification beyond that provided in our current memorandum and articles of association.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Of Directors and Executive Officers (In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fiscal year ended June 30, 2025, we paid an aggregate of $22,626 in cash compensation and did not grant any shares to our directors and executive officers. For the year ended June 30, 2024, we paid an aggregate of US$0 in cash to our executive officers and directors. We have not set aside or accrued any amount to provide pension, retirement or other similar benefits to our directors and executive officers.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board of directors has established an audit committee, a compensation committee and a nominating and corporate governance committee. Each committee member is appointed by the board of directors and serve until his or her successor is elected and qualified, unless he or she is removed or resigns earlier.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Audit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Nasdaq listing standards and applicable SEC rules, Intercont is required to have three members of the audit committee all of whom must be independent. Intercont has an audit committee of board of directors, which consists of Yuanmei Ma, Michael Schumann and Dahong Li, each of whom is an independent director under Nasdaq’s listing standards. Yuanmei Ma is the Chairperson of the audit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committee’s duties, which are specified in our Audit Committee Charter,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Company’s relationship with the independent auditor;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adequacy and effectiveness of the Company’s internal control policies and procedures on a regular basis;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Company’s compliance procedures;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Company’s annual and quarterly financial statements.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Financial Experts on Audit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will at all times be composed exclusively of “independent directors” who are “financially literate” as defined under Nasdaq listing standards. Nasdaq listing standards define “financially literate” as being able to read and understand fundamental financial statements, including a company’s balance sheet, income statement and cash flow statement.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Yuanmei Ma qualifies as an “audit committee financial expert,” as defined under rules and regulations of the SEC.</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Nominating and Corporate Governance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has a nominating and corporate governance committee of the board of directors, which consists of Michael Schumann, Dahong Li and Yuanmei Ma, each of whom is an independent director under Nasdaq’s listing standards. Michael Schumann is the Chairperson of the nominating and corporate governance committee. The nominating and corporate governance committee is responsible for overseeing the selection of persons to be nominated to serve on our board of directors. The nominating and corporate governance committee considers persons identified by its members, management, shareholders, investment bankers and others.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committee’s duties, which are specified in our Nominating and Corporate Governance Committee Charter,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making recommendations as to the size and composition of the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desired qualifications and characteristics for board membership and with corresponding attributes;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and administering a periodic assessment procedure relating to the performance of the board as a whole and its individual members;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and recommending to the board of directors a set of corporate governance principles and practices.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sz w:val="20"/>
        </w:rPr>
        <w:t>G</w:t>
      </w:r>
      <w:r>
        <w:rPr>
          <w:rFonts w:ascii="Times New Roman PS Std;serif" w:hAnsi="Times New Roman PS Std;serif"/>
          <w:b/>
          <w:i/>
          <w:caps w:val="false"/>
          <w:smallCaps w:val="false"/>
          <w:sz w:val="20"/>
        </w:rPr>
        <w:t>uidelines for Selecting Director Nominees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guidelines for selecting nominees, which are specified in the Nominating and Corporate Governance Committee Charter, generally provide that persons to be nominated: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should have demonstrated notable or significant achievements in business, education or public service;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should possess the requisite intelligence, education and experience to make a significant contribution to the board of directors and bring a range of skills, diverse perspectives and backgrounds to its deliberations;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should have the highest ethical standards, a strong sense of professionalism and intense dedication to serving the interests of the shareholders.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nominating and corporate governance committee shall consider a number of qualifications relating to management and leadership experience, background and integrity and professionalism in evaluating a person’s candidacy for membership on the board of directors.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board of directors will also consider director candidates recommended for nomination by our shareholders during such times as they are seeking proposed nominees to stand for election at the next annual meeting of shareholders (or, if applicable, a special meeting of shareholders). Our shareholders that wish to nominate a director for election to the Board should follow the procedures set forth in our memorandum and articles of association. The nominating and corporate governance committee does not distinguish among nominees recommended by shareholders and other persons.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has a compensation committee of the board of directors, which consists of Dahong Li, Yuanmei Ma, and Michael Schumann, each of whom is an independent director under Nasdaq’s listing standards. Dahong Li is the Chairperson of the compensation committee. The compensation committee’s duties, which are specified in our Compensation Committee Charter,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Company’s goals and objectives relevant to the executives’ compensation and evaluation of the executives; performance of such goals and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making recommendations to the board of directors with respect to director compensation;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administering the Company’s incentive-compensation plans and equity-based plans;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any share option award or any other type of award as may be required for complying with any tax, securities, or other regulatory requirement.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Strategic Development Committee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has a strategic development committee of the board of directors, which consists of Muchun Zhu, Dahong Li, and Michael Schumann. Muchun Zhu is the Chairperson of the strategic development committee. The strategic development committee’s duties, which are specified in our Strategic Development Committee Charter,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development and execution of the Company’s strategic plan to create long-term stockholder value;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Evaluate strategic actions, including strategic cooperation, investments, merger, acquisitions, divestitures and other business and financing strategies and assess such actions for strategic alignment, short and long-term impact on the Company’s objectives and stockholder value and other considerations.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Independence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reviewed the materiality of any relationship that each of our directors has with us, either directly or indirectly. Based on this review, it is determined that Michael Schumann, Dahong Li, and Yuanmei Ma, are “independent directors” as defined by Nasdaq.</w:t>
      </w:r>
    </w:p>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Code of Ethics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adopted a code of ethics that applies to all of our executive officers, directors and employees. The code of ethics codifies the business and ethical principles that govern all aspects of our business.</w:t>
      </w:r>
    </w:p>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Duties of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Cayman Islands law, Intercont’s directors have a duty of loyalty to act honestly in good faith with a view to our best interests. Intercont’s directors also have a duty to act with skill and care. It was previously considered that a director need not exhibit in the performance of his duties a greater degree of skill than may reasonably be expected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a person of his knowledge and experience. However, English and Commonwealth courts have moved towards an objective standard with regard to the required skill and care and these authorities are likely to be followed in the Cayman Islands. In fulfilling their duty of care to us, Intercont’s directors must confirm the compliance with our memorandum and articles of association as amended and restated from time to time, and the class rights vested thereunder in the holders of the shares. Intercont’s board of directors has all the powers necessary for managing, and for directing and supervising, our business affairs. The functions and powers of Intercont’s board of directors include,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convening shareholders’ annual and extraordinary general meetings;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declaring dividends and distributions;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officers and determining the term of office of the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exercising the borrowing powers of our company and mortgaging the property of our company;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approving the transfer of shares in our company, including the registration of such shares in the register of members.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has the right to seek damages if a duty owed by our directors is breached. A shareholder may in certain limited exceptional circumstances have the right to seek damages in our name if a duty owed by our directors is breached. You should refer to “Description of Share Capital — Differences in Corporate Law” for additional information on our standard of corporate governance under Cayman Islands law.</w:t>
      </w:r>
    </w:p>
    <w:p>
      <w:pPr>
        <w:pStyle w:val="TextBody"/>
        <w:keepNext w:val="true"/>
        <w:pageBreakBefore w:val="false"/>
        <w:widowControl/>
        <w:pBdr/>
        <w:bidi w:val="0"/>
        <w:spacing w:before="240" w:after="283"/>
        <w:jc w:val="both"/>
        <w:rPr>
          <w:rFonts w:ascii="Times New Roman PS Std;serif" w:hAnsi="Times New Roman PS Std;serif"/>
          <w:b/>
          <w:i w:val="false"/>
          <w:caps/>
          <w:sz w:val="20"/>
        </w:rPr>
      </w:pPr>
      <w:r>
        <w:rPr>
          <w:rFonts w:ascii="Times New Roman PS Std;serif" w:hAnsi="Times New Roman PS Std;serif"/>
          <w:b/>
          <w:i w:val="false"/>
          <w:caps/>
          <w:sz w:val="20"/>
        </w:rPr>
        <w:t>Terms of Directors and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officers are elected by and serve at the discretion of the board of directors of Intercont and may be removed by the board of directors of Intercont. The directors of the board of Intercont shall not be required to retire by rotation. The office of a director shall be vacated if the director dies, resigns, or is removed from office by a shareholders’ ordinary resolution. A director will be removed from office automatically if, among other things, the director becomes bankrupt or makes any arrangement or composition with his creditors or becomes of unsound mind.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5" w:name="T10"/>
      <w:bookmarkEnd w:id="15"/>
      <w:r>
        <w:rPr>
          <w:rFonts w:ascii="Times New Roman PS Std;serif" w:hAnsi="Times New Roman PS Std;serif"/>
          <w:b/>
          <w:i w:val="false"/>
          <w:caps w:val="false"/>
          <w:smallCaps w:val="false"/>
          <w:sz w:val="20"/>
        </w:rPr>
        <w:t xml:space="preserve">PRINCIPAL SHAREHOLDERS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with respect to the beneficial ownership, within the meaning of Rule 13d-3 under the Exchange Act, of our Class A Ordinary Shares and Class B Ordinary Shares as of the date of this prospectus for:</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and executive officers;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known to us to own beneficially more than 5% of our Class A Ordinary Shares or Class B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Beneficial ownership includes voting or investment power with respect to the securities. Except as indicated below, and subject to applicable community property laws, the persons named in the table have sole voting and investment power with respect to all Class A Ordinary Shares or Class B Ordinary Shares shown as beneficially owned by them. Percentage of beneficial ownership of each listed person is based on 1,437,740 Class A Ordinary Shares and 206,598.04 Class B Ordinary Shares outstanding as of the date of this prospectus. The percentage of beneficial ownership in the table below after this offering is based on [•] Class A Ordinary Shares outstanding after the closing of this offering, not taking into account the Class A Ordinary Shares that are issuable upon the 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with respect to beneficial ownership has been furnished by each director, officer, or beneficial owner of 5% or more of our Class A Ordinary Shares or Class B Ordinary Shares. Beneficial ownership is determined in accordance with the rules of the SEC and generally requires that such person have voting or investment power with respect to securities. In computing the number of Class A Ordinary Shares beneficially owned by a person listed below and the percentage ownership of such person, Class A Ordinary Shares underlying options, warrants, or convertible securities, including Class B Ordinary Shares, held by each such person that are exercisable or convertible within 60 days of the date of this prospectus are deemed outstanding, but are not deemed outstanding for computing the percentage ownership of any other person.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indicated in the table below, addresses of Intercont’s directors, executive officers and named beneficial owners are in care of Intercont (Cayman) Limited, 39 OCEAN DRIVE, SINGAPORE, Singapore, 098187, Tel: +65 8818239.</w:t>
      </w:r>
    </w:p>
    <w:tbl>
      <w:tblPr>
        <w:tblW w:w="15251" w:type="dxa"/>
        <w:jc w:val="left"/>
        <w:tblInd w:w="0" w:type="dxa"/>
        <w:tblLayout w:type="fixed"/>
        <w:tblCellMar>
          <w:top w:w="0" w:type="dxa"/>
          <w:left w:w="0" w:type="dxa"/>
          <w:bottom w:w="0" w:type="dxa"/>
          <w:right w:w="0" w:type="dxa"/>
        </w:tblCellMar>
      </w:tblPr>
      <w:tblGrid>
        <w:gridCol w:w="2171"/>
        <w:gridCol w:w="146"/>
        <w:gridCol w:w="961"/>
        <w:gridCol w:w="146"/>
        <w:gridCol w:w="1246"/>
        <w:gridCol w:w="146"/>
        <w:gridCol w:w="1411"/>
        <w:gridCol w:w="146"/>
        <w:gridCol w:w="827"/>
        <w:gridCol w:w="389"/>
        <w:gridCol w:w="146"/>
        <w:gridCol w:w="766"/>
        <w:gridCol w:w="360"/>
        <w:gridCol w:w="146"/>
        <w:gridCol w:w="961"/>
        <w:gridCol w:w="146"/>
        <w:gridCol w:w="961"/>
        <w:gridCol w:w="146"/>
        <w:gridCol w:w="1411"/>
        <w:gridCol w:w="146"/>
        <w:gridCol w:w="1156"/>
        <w:gridCol w:w="146"/>
        <w:gridCol w:w="1171"/>
      </w:tblGrid>
      <w:tr>
        <w:trPr/>
        <w:tc>
          <w:tcPr>
            <w:tcW w:w="21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544"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Shares Beneficially Owned </w:t>
              <w:br/>
              <w:t>Prior to the Offering</w:t>
            </w:r>
          </w:p>
        </w:tc>
        <w:tc>
          <w:tcPr>
            <w:tcW w:w="146" w:type="dxa"/>
            <w:tcBorders/>
            <w:vAlign w:val="bottom"/>
          </w:tcPr>
          <w:p>
            <w:pPr>
              <w:pStyle w:val="TableContents"/>
              <w:bidi w:val="0"/>
              <w:spacing w:before="0" w:after="283"/>
              <w:jc w:val="left"/>
              <w:rPr/>
            </w:pPr>
            <w:r>
              <w:rPr/>
              <w:t> </w:t>
            </w:r>
          </w:p>
        </w:tc>
        <w:tc>
          <w:tcPr>
            <w:tcW w:w="6244" w:type="dxa"/>
            <w:gridSpan w:val="9"/>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Ordinary Shares Beneficially Owned </w:t>
              <w:br/>
              <w:t>after the Offering</w:t>
            </w:r>
          </w:p>
        </w:tc>
      </w:tr>
      <w:tr>
        <w:trPr/>
        <w:tc>
          <w:tcPr>
            <w:tcW w:w="2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Class A </w:t>
              <w:br/>
              <w:t xml:space="preserve">Ordinary </w:t>
              <w:br/>
              <w:t>Shares</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Class B </w:t>
              <w:br/>
              <w:t xml:space="preserve">Ordinary </w:t>
              <w:br/>
              <w:t>Shares</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 xml:space="preserve">Ordinary </w:t>
              <w:br/>
              <w:t xml:space="preserve">Shares </w:t>
              <w:br/>
              <w:t xml:space="preserve">on an </w:t>
              <w:br/>
              <w:t xml:space="preserve">As-converted </w:t>
              <w:br/>
              <w:t>Basis</w:t>
            </w:r>
          </w:p>
        </w:tc>
        <w:tc>
          <w:tcPr>
            <w:tcW w:w="146" w:type="dxa"/>
            <w:tcBorders/>
            <w:vAlign w:val="bottom"/>
          </w:tcPr>
          <w:p>
            <w:pPr>
              <w:pStyle w:val="TableContents"/>
              <w:bidi w:val="0"/>
              <w:spacing w:before="0" w:after="283"/>
              <w:jc w:val="left"/>
              <w:rPr/>
            </w:pPr>
            <w:r>
              <w:rPr/>
              <w:t> </w:t>
            </w:r>
          </w:p>
        </w:tc>
        <w:tc>
          <w:tcPr>
            <w:tcW w:w="12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of </w:t>
              <w:br/>
              <w:t xml:space="preserve">Beneficial </w:t>
              <w:br/>
              <w:t>Ownership</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1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of </w:t>
              <w:br/>
              <w:t xml:space="preserve">Aggregate </w:t>
              <w:br/>
              <w:t xml:space="preserve">Voting </w:t>
              <w:br/>
              <w:t>Power</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Class A </w:t>
              <w:br/>
              <w:t xml:space="preserve">Ordinary </w:t>
              <w:br/>
              <w:t>Shares</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Class B </w:t>
              <w:br/>
              <w:t xml:space="preserve">Ordinary </w:t>
              <w:br/>
              <w:t>Shares</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 xml:space="preserve">Ordinary </w:t>
              <w:br/>
              <w:t xml:space="preserve">Shares </w:t>
              <w:br/>
              <w:t xml:space="preserve">on an </w:t>
              <w:br/>
              <w:t xml:space="preserve">As-converted </w:t>
              <w:br/>
              <w:t>Basis</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 of </w:t>
              <w:br/>
              <w:t xml:space="preserve">Beneficial </w:t>
              <w:br/>
              <w:t>Ownership</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 of </w:t>
              <w:br/>
              <w:t xml:space="preserve">Aggregate </w:t>
              <w:br/>
              <w:t xml:space="preserve">Voting </w:t>
              <w:br/>
              <w:t>Power</w:t>
            </w:r>
          </w:p>
        </w:tc>
      </w:tr>
      <w:tr>
        <w:trPr/>
        <w:tc>
          <w:tcPr>
            <w:tcW w:w="21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r>
          </w:p>
        </w:tc>
        <w:tc>
          <w:tcPr>
            <w:tcW w:w="146" w:type="dxa"/>
            <w:tcBorders/>
            <w:vAlign w:val="bottom"/>
          </w:tcPr>
          <w:p>
            <w:pPr>
              <w:pStyle w:val="TableContents"/>
              <w:bidi w:val="0"/>
              <w:spacing w:before="0" w:after="283"/>
              <w:jc w:val="left"/>
              <w:rPr/>
            </w:pPr>
            <w:r>
              <w:rPr/>
              <w:t> </w:t>
            </w:r>
          </w:p>
        </w:tc>
        <w:tc>
          <w:tcPr>
            <w:tcW w:w="12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t>
            </w:r>
          </w:p>
        </w:tc>
      </w:tr>
      <w:tr>
        <w:trPr/>
        <w:tc>
          <w:tcPr>
            <w:tcW w:w="2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Director and Executive </w:t>
              <w:br/>
              <w:t>Officers:</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Muchun Zhu</w:t>
            </w:r>
            <w:r>
              <w:rPr>
                <w:rFonts w:ascii="Times New Roman PS Std;serif" w:hAnsi="Times New Roman PS Std;serif"/>
                <w:b w:val="false"/>
                <w:i w:val="false"/>
                <w:caps w:val="false"/>
                <w:smallCaps w:val="false"/>
                <w:sz w:val="12"/>
              </w:rPr>
              <w:t>(2)(3)</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206,598.04</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206,598.04</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12.56</w:t>
            </w:r>
          </w:p>
        </w:tc>
        <w:tc>
          <w:tcPr>
            <w:tcW w:w="3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81.27</w:t>
            </w:r>
          </w:p>
        </w:tc>
        <w:tc>
          <w:tcPr>
            <w:tcW w:w="3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2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Qingyuan Wang</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Michael Schumann</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2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Dahong Li</w:t>
            </w:r>
            <w:r>
              <w:rPr>
                <w:rFonts w:ascii="Times New Roman PS Std;serif" w:hAnsi="Times New Roman PS Std;serif"/>
                <w:b w:val="false"/>
                <w:i w:val="false"/>
                <w:caps w:val="false"/>
                <w:smallCaps w:val="false"/>
                <w:sz w:val="12"/>
              </w:rPr>
              <w:t>(6)</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Yuanmei Ma</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2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 Shareholders:</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Brilliant Cheer Limited</w:t>
            </w:r>
            <w:r>
              <w:rPr>
                <w:rFonts w:ascii="Times New Roman PS Std;serif" w:hAnsi="Times New Roman PS Std;serif"/>
                <w:b w:val="false"/>
                <w:i w:val="false"/>
                <w:caps w:val="false"/>
                <w:smallCaps w:val="false"/>
                <w:sz w:val="12"/>
              </w:rPr>
              <w:t>(8)(9)</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357,525</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357,525</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21.74</w:t>
            </w:r>
          </w:p>
        </w:tc>
        <w:tc>
          <w:tcPr>
            <w:tcW w:w="3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4.68</w:t>
            </w:r>
          </w:p>
        </w:tc>
        <w:tc>
          <w:tcPr>
            <w:tcW w:w="3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2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Three Star Shipping </w:t>
              <w:br/>
              <w:t>Cooperation</w:t>
            </w:r>
            <w:r>
              <w:rPr>
                <w:rFonts w:ascii="Times New Roman PS Std;serif" w:hAnsi="Times New Roman PS Std;serif"/>
                <w:b w:val="false"/>
                <w:i w:val="false"/>
                <w:caps w:val="false"/>
                <w:smallCaps w:val="false"/>
                <w:sz w:val="12"/>
              </w:rPr>
              <w:t>(9)(10)</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53,204</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53,204</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3.24</w:t>
            </w:r>
          </w:p>
        </w:tc>
        <w:tc>
          <w:tcPr>
            <w:tcW w:w="3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0.70</w:t>
            </w:r>
          </w:p>
        </w:tc>
        <w:tc>
          <w:tcPr>
            <w:tcW w:w="3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Eagle Dragon Limited</w:t>
            </w:r>
            <w:r>
              <w:rPr>
                <w:rFonts w:ascii="Times New Roman PS Std;serif" w:hAnsi="Times New Roman PS Std;serif"/>
                <w:b w:val="false"/>
                <w:i w:val="false"/>
                <w:caps w:val="false"/>
                <w:smallCaps w:val="false"/>
                <w:sz w:val="12"/>
              </w:rPr>
              <w:t>(11)</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178,763</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178,763</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10.87</w:t>
            </w:r>
          </w:p>
        </w:tc>
        <w:tc>
          <w:tcPr>
            <w:tcW w:w="3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2.34</w:t>
            </w:r>
          </w:p>
        </w:tc>
        <w:tc>
          <w:tcPr>
            <w:tcW w:w="3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2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 xml:space="preserve">Golden Maple Holdings </w:t>
              <w:br/>
              <w:t>Limited</w:t>
            </w:r>
            <w:r>
              <w:rPr>
                <w:rFonts w:ascii="Times New Roman PS Std;serif" w:hAnsi="Times New Roman PS Std;serif"/>
                <w:b w:val="false"/>
                <w:i w:val="false"/>
                <w:caps w:val="false"/>
                <w:smallCaps w:val="false"/>
                <w:sz w:val="12"/>
              </w:rPr>
              <w:t>(12)</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102,150</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102,150</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6.21</w:t>
            </w:r>
          </w:p>
        </w:tc>
        <w:tc>
          <w:tcPr>
            <w:tcW w:w="3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1.34</w:t>
            </w:r>
          </w:p>
        </w:tc>
        <w:tc>
          <w:tcPr>
            <w:tcW w:w="3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Beverly Holding Limited</w:t>
            </w:r>
            <w:r>
              <w:rPr>
                <w:rFonts w:ascii="Times New Roman PS Std;serif" w:hAnsi="Times New Roman PS Std;serif"/>
                <w:b w:val="false"/>
                <w:i w:val="false"/>
                <w:caps w:val="false"/>
                <w:smallCaps w:val="false"/>
                <w:sz w:val="12"/>
              </w:rPr>
              <w:t>(3)(13)</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170,249.72</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170,249.72</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10.35</w:t>
            </w:r>
          </w:p>
        </w:tc>
        <w:tc>
          <w:tcPr>
            <w:tcW w:w="3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66.89</w:t>
            </w:r>
          </w:p>
        </w:tc>
        <w:tc>
          <w:tcPr>
            <w:tcW w:w="3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r>
        <w:trPr/>
        <w:tc>
          <w:tcPr>
            <w:tcW w:w="21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Eascor Holding Limited</w:t>
            </w:r>
            <w:r>
              <w:rPr>
                <w:rFonts w:ascii="Times New Roman PS Std;serif" w:hAnsi="Times New Roman PS Std;serif"/>
                <w:b w:val="false"/>
                <w:i w:val="false"/>
                <w:caps w:val="false"/>
                <w:smallCaps w:val="false"/>
                <w:sz w:val="12"/>
              </w:rPr>
              <w:t>(3)(14)</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36,348.32</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36,348.32</w:t>
            </w:r>
          </w:p>
        </w:tc>
        <w:tc>
          <w:tcPr>
            <w:tcW w:w="146"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2.21</w:t>
            </w:r>
          </w:p>
        </w:tc>
        <w:tc>
          <w:tcPr>
            <w:tcW w:w="3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7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14.28</w:t>
            </w:r>
          </w:p>
        </w:tc>
        <w:tc>
          <w:tcPr>
            <w:tcW w:w="3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bidi w:val="0"/>
              <w:spacing w:before="0" w:after="283"/>
              <w:jc w:val="left"/>
              <w:rPr/>
            </w:pPr>
            <w:r>
              <w:rPr/>
              <w:t> </w:t>
            </w:r>
          </w:p>
        </w:tc>
      </w:tr>
      <w:tr>
        <w:trPr/>
        <w:tc>
          <w:tcPr>
            <w:tcW w:w="21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 directors and executive officers as a group (five individuals)</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206,598.04</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206,598.04</w:t>
            </w:r>
          </w:p>
        </w:tc>
        <w:tc>
          <w:tcPr>
            <w:tcW w:w="146" w:type="dxa"/>
            <w:tcBorders/>
            <w:vAlign w:val="bottom"/>
          </w:tcPr>
          <w:p>
            <w:pPr>
              <w:pStyle w:val="TableContents"/>
              <w:bidi w:val="0"/>
              <w:spacing w:before="0" w:after="283"/>
              <w:jc w:val="left"/>
              <w:rPr/>
            </w:pPr>
            <w:r>
              <w:rPr/>
              <w:t> </w:t>
            </w:r>
          </w:p>
        </w:tc>
        <w:tc>
          <w:tcPr>
            <w:tcW w:w="82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12.56</w:t>
            </w:r>
          </w:p>
        </w:tc>
        <w:tc>
          <w:tcPr>
            <w:tcW w:w="3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7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81.27</w:t>
            </w:r>
          </w:p>
        </w:tc>
        <w:tc>
          <w:tcPr>
            <w:tcW w:w="3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Percentage is calculated based on 1,437,740 Class A Ordinary Shares and 206,598.04 Class B Ordinary Shares issued and outstanding as of May 12,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address of Muchun Zhu is No. 18-1, Tonghuai Street, Moling Street, Jiangning District, Nanjing City, Jiangsu Province, China.</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Includes 170,249.72 shares of Class B Ordinary Shares owned by Beverly Holding Limited, and 36,348.32 shares of Class B Ordinary Shares owned by Eascor Holding Limited, each an entity 100% owned by Muchun Zhu.</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address of Qingyuan Wang is No. 18 Yingchun Yuan, Qinhuai District, Nanjing, Jiangsu Province, China.</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address of Michael Schumann is Kranzler Eck Berlin Kurfürstendamm 22, 10719 Berlin, Germany.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The address of Dahong Li is No.93 Wuyuan Road, Xuhui District, Shanghai, China.</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The address of Yuanmei Ma is 727 Cypress Hills Drive, Encinitas, California, U.S.A. 92024.</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The registered address of Brilliant Cheer Limited is Vistra Corporate Services Centre, Wickhams Cay II, Road Town, Tortola, VG1110,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Each of Brilliant Cheer Limited and Three Star Shipping Cooperation is 100% owned by Jun Li, whose address is 7 Bishan Street, 15 #17-08 Sky Habitat, Singapore 573908.</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The registered address of Three Star Shipping Cooperation is Vistra Corporate Services Centre, Wickhams Cay II, Road Town, Tortola, VG1110,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The registered address of Eagle Dragon Limited is Vistra Corporate Services Centre, Wickhams Cay II, Road Town, Tortola, VG1110, British Virgin Islands. Eagle Dragon Limited is 100% owned by Shoucheng Lei, whose address is Room 1702-1703, Tower A, Xiaoyun Centre, No. 15 Xiaguangli Chaoyang District, Beijing 100016, China.</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The registered address of Golden Maple Holdings is Vistra Corporate Services Centre, Wickhams Cay II, Road Town, Tortola, VG1110, British Virgin Islands. Golden Maple Holdings is 100% owned by Luan Chen, whose address is Golden Maple Holdings is House 38, Kovan Rise, #12-19, Singapore 544727.</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The registered address of Beverly Holding Limited is Sea Meadow House, P.O. Box 116, Road Town, Tortola, British Virgin Islands.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The registered address of Eascor Holding Limited is Sea Meadow House, P.O. Box 116, Road Town, Tortola, British Virgin Islands.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6" w:name="T9"/>
      <w:bookmarkEnd w:id="16"/>
      <w:r>
        <w:rPr>
          <w:rFonts w:ascii="Times New Roman PS Std;serif" w:hAnsi="Times New Roman PS Std;serif"/>
          <w:b/>
          <w:i w:val="false"/>
          <w:caps w:val="false"/>
          <w:smallCaps w:val="false"/>
          <w:sz w:val="20"/>
        </w:rPr>
        <w:t xml:space="preserve">RELATED PARTY TRANSACTIONS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records transactions with various related parties. These related parties’ balances as of December 31, 2025 and June 30, 2025 and 2024 and transactions for the six months ended December 31, 2025 and 2024 and for the years ended June 30, 2025, 2024 and 2023 are identified as follows: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Related parties with transactions and related party relationships</w:t>
      </w:r>
    </w:p>
    <w:tbl>
      <w:tblPr>
        <w:tblW w:w="10205" w:type="dxa"/>
        <w:jc w:val="left"/>
        <w:tblInd w:w="0" w:type="dxa"/>
        <w:tblLayout w:type="fixed"/>
        <w:tblCellMar>
          <w:top w:w="0" w:type="dxa"/>
          <w:left w:w="0" w:type="dxa"/>
          <w:bottom w:w="0" w:type="dxa"/>
          <w:right w:w="0" w:type="dxa"/>
        </w:tblCellMar>
      </w:tblPr>
      <w:tblGrid>
        <w:gridCol w:w="3854"/>
        <w:gridCol w:w="146"/>
        <w:gridCol w:w="6205"/>
      </w:tblGrid>
      <w:tr>
        <w:trPr/>
        <w:tc>
          <w:tcPr>
            <w:tcW w:w="38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Related Party</w:t>
            </w:r>
          </w:p>
        </w:tc>
        <w:tc>
          <w:tcPr>
            <w:tcW w:w="146" w:type="dxa"/>
            <w:tcBorders/>
            <w:vAlign w:val="bottom"/>
          </w:tcPr>
          <w:p>
            <w:pPr>
              <w:pStyle w:val="TableContents"/>
              <w:bidi w:val="0"/>
              <w:spacing w:before="0" w:after="283"/>
              <w:jc w:val="left"/>
              <w:rPr/>
            </w:pPr>
            <w:r>
              <w:rPr/>
              <w:t> </w:t>
            </w:r>
          </w:p>
        </w:tc>
        <w:tc>
          <w:tcPr>
            <w:tcW w:w="620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to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Shoucheng Lei</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of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 Ms. Luan Chen and Mr. Jun Li, shareholders of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Rui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bulk Singapore Pte.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Xun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Nanjing Top Confidence Marine Management Co.,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Dong Zhang</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Family member of Mr. Jun Li</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Qing Xu</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Family member of Ms. Luan Chen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Corporation Shipping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Accounts receivable-related parties</w:t>
      </w:r>
    </w:p>
    <w:tbl>
      <w:tblPr>
        <w:tblW w:w="8888" w:type="dxa"/>
        <w:jc w:val="left"/>
        <w:tblInd w:w="0" w:type="dxa"/>
        <w:tblLayout w:type="fixed"/>
        <w:tblCellMar>
          <w:top w:w="0" w:type="dxa"/>
          <w:left w:w="0" w:type="dxa"/>
          <w:bottom w:w="0" w:type="dxa"/>
          <w:right w:w="0" w:type="dxa"/>
        </w:tblCellMar>
      </w:tblPr>
      <w:tblGrid>
        <w:gridCol w:w="4126"/>
        <w:gridCol w:w="146"/>
        <w:gridCol w:w="471"/>
        <w:gridCol w:w="1164"/>
        <w:gridCol w:w="146"/>
        <w:gridCol w:w="286"/>
        <w:gridCol w:w="1126"/>
        <w:gridCol w:w="146"/>
        <w:gridCol w:w="286"/>
        <w:gridCol w:w="991"/>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4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bidi w:val="0"/>
              <w:spacing w:before="0" w:after="283"/>
              <w:jc w:val="left"/>
              <w:rPr/>
            </w:pPr>
            <w:r>
              <w:rPr/>
              <w:t> </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616,279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50,125</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Limited(2)</w:t>
            </w:r>
          </w:p>
        </w:tc>
        <w:tc>
          <w:tcPr>
            <w:tcW w:w="146"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143,277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Limited(2)</w:t>
            </w:r>
          </w:p>
        </w:tc>
        <w:tc>
          <w:tcPr>
            <w:tcW w:w="146"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159,638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Limited(2)</w:t>
            </w:r>
          </w:p>
        </w:tc>
        <w:tc>
          <w:tcPr>
            <w:tcW w:w="146"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6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86,817</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1,018,315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136,942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mainly represented consideration for time charter accounts receivable from Topsheen Shipping Singapore Pte. Ltd, which was collected in current period.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 represents the accrued management fees from related parties for vessel management services, which was partially collected in current period.</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Contract liabilities-related party</w:t>
      </w:r>
    </w:p>
    <w:tbl>
      <w:tblPr>
        <w:tblW w:w="8708" w:type="dxa"/>
        <w:jc w:val="left"/>
        <w:tblInd w:w="0" w:type="dxa"/>
        <w:tblLayout w:type="fixed"/>
        <w:tblCellMar>
          <w:top w:w="0" w:type="dxa"/>
          <w:left w:w="0" w:type="dxa"/>
          <w:bottom w:w="0" w:type="dxa"/>
          <w:right w:w="0" w:type="dxa"/>
        </w:tblCellMar>
      </w:tblPr>
      <w:tblGrid>
        <w:gridCol w:w="4126"/>
        <w:gridCol w:w="146"/>
        <w:gridCol w:w="378"/>
        <w:gridCol w:w="1257"/>
        <w:gridCol w:w="146"/>
        <w:gridCol w:w="286"/>
        <w:gridCol w:w="946"/>
        <w:gridCol w:w="146"/>
        <w:gridCol w:w="286"/>
        <w:gridCol w:w="991"/>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4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bidi w:val="0"/>
              <w:spacing w:before="0" w:after="283"/>
              <w:jc w:val="left"/>
              <w:rPr/>
            </w:pPr>
            <w:r>
              <w:rPr/>
              <w:t> </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497,360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433,125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213,209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(1)      The balance represents the advance charter hire payments from Topsheen Shipping Singapore Pte. Ltd.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Due from related parties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June 30, 2025 and 2024, the balances due to related parties were as follows:</w:t>
      </w:r>
    </w:p>
    <w:tbl>
      <w:tblPr>
        <w:tblW w:w="8648" w:type="dxa"/>
        <w:jc w:val="left"/>
        <w:tblInd w:w="0" w:type="dxa"/>
        <w:tblLayout w:type="fixed"/>
        <w:tblCellMar>
          <w:top w:w="0" w:type="dxa"/>
          <w:left w:w="0" w:type="dxa"/>
          <w:bottom w:w="0" w:type="dxa"/>
          <w:right w:w="0" w:type="dxa"/>
        </w:tblCellMar>
      </w:tblPr>
      <w:tblGrid>
        <w:gridCol w:w="4066"/>
        <w:gridCol w:w="146"/>
        <w:gridCol w:w="378"/>
        <w:gridCol w:w="1257"/>
        <w:gridCol w:w="146"/>
        <w:gridCol w:w="286"/>
        <w:gridCol w:w="946"/>
        <w:gridCol w:w="146"/>
        <w:gridCol w:w="286"/>
        <w:gridCol w:w="991"/>
      </w:tblGrid>
      <w:tr>
        <w:trPr/>
        <w:tc>
          <w:tcPr>
            <w:tcW w:w="40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40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bidi w:val="0"/>
              <w:spacing w:before="0" w:after="283"/>
              <w:jc w:val="left"/>
              <w:rPr/>
            </w:pPr>
            <w:r>
              <w:rPr/>
              <w:t> </w:t>
            </w:r>
          </w:p>
        </w:tc>
      </w:tr>
      <w:tr>
        <w:trPr/>
        <w:tc>
          <w:tcPr>
            <w:tcW w:w="40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71,662</w:t>
            </w:r>
          </w:p>
        </w:tc>
      </w:tr>
      <w:tr>
        <w:trPr/>
        <w:tc>
          <w:tcPr>
            <w:tcW w:w="40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vAlign w:val="bottom"/>
          </w:tcPr>
          <w:p>
            <w:pPr>
              <w:pStyle w:val="TableContents"/>
              <w:bidi w:val="0"/>
              <w:spacing w:before="0" w:after="283"/>
              <w:jc w:val="left"/>
              <w:rPr/>
            </w:pPr>
            <w:r>
              <w:rPr/>
              <w:t> </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5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412,873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331,948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331,656</w:t>
            </w:r>
          </w:p>
        </w:tc>
      </w:tr>
      <w:tr>
        <w:trPr/>
        <w:tc>
          <w:tcPr>
            <w:tcW w:w="40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412,873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331,948</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403,318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8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(1)      The balance represents the outstanding bunker receivable from Topsheen Shipping Singapore Pte. Ltd for time charter service provided by the Group.</w:t>
      </w:r>
    </w:p>
    <w:p>
      <w:pPr>
        <w:pStyle w:val="TextBody"/>
        <w:keepNext w:val="true"/>
        <w:pageBreakBefore w:val="false"/>
        <w:widowControl/>
        <w:pBdr/>
        <w:bidi w:val="0"/>
        <w:spacing w:before="22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Due to related parties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June 30, 2025 and 2024, the balances due to related parties were as follows:</w:t>
      </w:r>
    </w:p>
    <w:tbl>
      <w:tblPr>
        <w:tblW w:w="10205" w:type="dxa"/>
        <w:jc w:val="left"/>
        <w:tblInd w:w="0" w:type="dxa"/>
        <w:tblLayout w:type="fixed"/>
        <w:tblCellMar>
          <w:top w:w="0" w:type="dxa"/>
          <w:left w:w="0" w:type="dxa"/>
          <w:bottom w:w="0" w:type="dxa"/>
          <w:right w:w="0" w:type="dxa"/>
        </w:tblCellMar>
      </w:tblPr>
      <w:tblGrid>
        <w:gridCol w:w="5030"/>
        <w:gridCol w:w="146"/>
        <w:gridCol w:w="303"/>
        <w:gridCol w:w="1324"/>
        <w:gridCol w:w="146"/>
        <w:gridCol w:w="286"/>
        <w:gridCol w:w="1246"/>
        <w:gridCol w:w="146"/>
        <w:gridCol w:w="286"/>
        <w:gridCol w:w="1292"/>
      </w:tblGrid>
      <w:tr>
        <w:trPr/>
        <w:tc>
          <w:tcPr>
            <w:tcW w:w="503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57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503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8" w:type="dxa"/>
            <w:gridSpan w:val="2"/>
            <w:tcBorders/>
            <w:vAlign w:val="bottom"/>
          </w:tcPr>
          <w:p>
            <w:pPr>
              <w:pStyle w:val="TableContents"/>
              <w:bidi w:val="0"/>
              <w:spacing w:before="0" w:after="283"/>
              <w:jc w:val="left"/>
              <w:rPr/>
            </w:pPr>
            <w:r>
              <w:rPr/>
              <w:t> </w:t>
            </w:r>
          </w:p>
        </w:tc>
      </w:tr>
      <w:tr>
        <w:trPr/>
        <w:tc>
          <w:tcPr>
            <w:tcW w:w="50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Limited(1)</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45,504</w:t>
            </w:r>
          </w:p>
        </w:tc>
      </w:tr>
      <w:tr>
        <w:trPr/>
        <w:tc>
          <w:tcPr>
            <w:tcW w:w="503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Nanjing Top Confidence Marine Management Co., Ltd(1)</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8,710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17,683</w:t>
            </w:r>
          </w:p>
        </w:tc>
      </w:tr>
      <w:tr>
        <w:trPr/>
        <w:tc>
          <w:tcPr>
            <w:tcW w:w="50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shareholder and affiliate(2)</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21,476,946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24,490,720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24,776,946</w:t>
            </w:r>
          </w:p>
        </w:tc>
      </w:tr>
      <w:tr>
        <w:trPr/>
        <w:tc>
          <w:tcPr>
            <w:tcW w:w="503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11,546</w:t>
            </w:r>
          </w:p>
        </w:tc>
      </w:tr>
      <w:tr>
        <w:trPr/>
        <w:tc>
          <w:tcPr>
            <w:tcW w:w="503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21,502,619</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24,553,231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24,851,679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8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balances mainly represented the expenses paid on behalf of the Group.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balances mainly represented non-interest-bearing loans from Mr. Shoucheng Lei and due on demand. During the six months end December 31, 2025, the Group repaid $3,000,000 of these loans to Mr. Shoucheng Lei.</w:t>
      </w:r>
    </w:p>
    <w:p>
      <w:pPr>
        <w:pStyle w:val="TextBody"/>
        <w:keepNext w:val="true"/>
        <w:pageBreakBefore w:val="false"/>
        <w:widowControl/>
        <w:pBdr/>
        <w:bidi w:val="0"/>
        <w:spacing w:before="22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Services provided to related parties</w:t>
      </w:r>
    </w:p>
    <w:tbl>
      <w:tblPr>
        <w:tblW w:w="10205" w:type="dxa"/>
        <w:jc w:val="left"/>
        <w:tblInd w:w="0" w:type="dxa"/>
        <w:tblLayout w:type="fixed"/>
        <w:tblCellMar>
          <w:top w:w="0" w:type="dxa"/>
          <w:left w:w="0" w:type="dxa"/>
          <w:bottom w:w="0" w:type="dxa"/>
          <w:right w:w="0" w:type="dxa"/>
        </w:tblCellMar>
      </w:tblPr>
      <w:tblGrid>
        <w:gridCol w:w="1672"/>
        <w:gridCol w:w="146"/>
        <w:gridCol w:w="294"/>
        <w:gridCol w:w="1285"/>
        <w:gridCol w:w="146"/>
        <w:gridCol w:w="294"/>
        <w:gridCol w:w="1285"/>
        <w:gridCol w:w="146"/>
        <w:gridCol w:w="286"/>
        <w:gridCol w:w="1246"/>
        <w:gridCol w:w="146"/>
        <w:gridCol w:w="286"/>
        <w:gridCol w:w="1246"/>
        <w:gridCol w:w="146"/>
        <w:gridCol w:w="286"/>
        <w:gridCol w:w="1295"/>
      </w:tblGrid>
      <w:tr>
        <w:trPr/>
        <w:tc>
          <w:tcPr>
            <w:tcW w:w="16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57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2024</w:t>
            </w:r>
          </w:p>
        </w:tc>
        <w:tc>
          <w:tcPr>
            <w:tcW w:w="146" w:type="dxa"/>
            <w:tcBorders/>
            <w:vAlign w:val="bottom"/>
          </w:tcPr>
          <w:p>
            <w:pPr>
              <w:pStyle w:val="TableContents"/>
              <w:bidi w:val="0"/>
              <w:spacing w:before="0" w:after="283"/>
              <w:jc w:val="left"/>
              <w:rPr/>
            </w:pPr>
            <w:r>
              <w:rPr/>
              <w:t> </w:t>
            </w:r>
          </w:p>
        </w:tc>
        <w:tc>
          <w:tcPr>
            <w:tcW w:w="15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2023</w:t>
            </w:r>
          </w:p>
        </w:tc>
      </w:tr>
      <w:tr>
        <w:trPr/>
        <w:tc>
          <w:tcPr>
            <w:tcW w:w="167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7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57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81" w:type="dxa"/>
            <w:gridSpan w:val="2"/>
            <w:tcBorders/>
            <w:vAlign w:val="bottom"/>
          </w:tcPr>
          <w:p>
            <w:pPr>
              <w:pStyle w:val="TableContents"/>
              <w:bidi w:val="0"/>
              <w:spacing w:before="0" w:after="283"/>
              <w:jc w:val="left"/>
              <w:rPr/>
            </w:pPr>
            <w:r>
              <w:rPr/>
              <w:t> </w:t>
            </w:r>
          </w:p>
        </w:tc>
      </w:tr>
      <w:tr>
        <w:trPr/>
        <w:tc>
          <w:tcPr>
            <w:tcW w:w="16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 (Time charter revenue)</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9,250,107</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9,430,014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18,682,031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12,281,701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13,999,534</w:t>
            </w:r>
          </w:p>
        </w:tc>
      </w:tr>
      <w:tr>
        <w:trPr/>
        <w:tc>
          <w:tcPr>
            <w:tcW w:w="16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 (Vessel management services revenue)</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699,582</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690,649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1,481,220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1,565,711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2,052,046</w:t>
            </w:r>
          </w:p>
        </w:tc>
      </w:tr>
      <w:tr>
        <w:trPr/>
        <w:tc>
          <w:tcPr>
            <w:tcW w:w="16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 (Vessel management services revenue)</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707,132</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721,736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1,457,911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1,492,521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1,752,601</w:t>
            </w:r>
          </w:p>
        </w:tc>
      </w:tr>
      <w:tr>
        <w:trPr/>
        <w:tc>
          <w:tcPr>
            <w:tcW w:w="16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Rui Da Shipping Co. Limited (Vessel management services revenue)</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420,737</w:t>
            </w:r>
          </w:p>
        </w:tc>
      </w:tr>
      <w:tr>
        <w:trPr/>
        <w:tc>
          <w:tcPr>
            <w:tcW w:w="16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Xun Da Shipping Co. Limited (Vessel management services revenue)</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619,504</w:t>
            </w:r>
          </w:p>
        </w:tc>
      </w:tr>
      <w:tr>
        <w:trPr/>
        <w:tc>
          <w:tcPr>
            <w:tcW w:w="16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Topsheen Bulk Singapore </w:t>
              <w:br/>
              <w:t>Pte Ltd (Time charter revenue)</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617,624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624,337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 (Vessel management services revenue)</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485,796</w:t>
            </w:r>
          </w:p>
        </w:tc>
        <w:tc>
          <w:tcPr>
            <w:tcW w:w="146" w:type="dxa"/>
            <w:tcBorders/>
            <w:shd w:fill="CCEEFF" w:val="clear"/>
            <w:vAlign w:val="bottom"/>
          </w:tcPr>
          <w:p>
            <w:pPr>
              <w:pStyle w:val="TableContents"/>
              <w:bidi w:val="0"/>
              <w:spacing w:before="0" w:after="283"/>
              <w:jc w:val="left"/>
              <w:rPr/>
            </w:pPr>
            <w:r>
              <w:rPr/>
              <w:t> </w:t>
            </w:r>
          </w:p>
        </w:tc>
        <w:tc>
          <w:tcPr>
            <w:tcW w:w="29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497,079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1,128,998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974,963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16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9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11,142,617</w:t>
            </w:r>
          </w:p>
        </w:tc>
        <w:tc>
          <w:tcPr>
            <w:tcW w:w="146" w:type="dxa"/>
            <w:tcBorders/>
            <w:vAlign w:val="bottom"/>
          </w:tcPr>
          <w:p>
            <w:pPr>
              <w:pStyle w:val="TableContents"/>
              <w:bidi w:val="0"/>
              <w:spacing w:before="0" w:after="283"/>
              <w:jc w:val="left"/>
              <w:rPr/>
            </w:pPr>
            <w:r>
              <w:rPr/>
              <w:t> </w:t>
            </w:r>
          </w:p>
        </w:tc>
        <w:tc>
          <w:tcPr>
            <w:tcW w:w="29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8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11,957,102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23,374,497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16,314,896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18,844,422</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and for the years ended June 30, 2025, 2024 and 2023, the Group provided time charter service and vessel management services to the related parties. These numbers have been included in the revenue of the condensed consolidated statements of income.</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Financing lease from a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and for the years ended June 30, 2025, 2024 and 2023, the Group has financing leases from a related party.</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Short-term office lease expense from a related party</w:t>
      </w:r>
    </w:p>
    <w:tbl>
      <w:tblPr>
        <w:tblW w:w="10166" w:type="dxa"/>
        <w:jc w:val="left"/>
        <w:tblInd w:w="0" w:type="dxa"/>
        <w:tblLayout w:type="fixed"/>
        <w:tblCellMar>
          <w:top w:w="0" w:type="dxa"/>
          <w:left w:w="0" w:type="dxa"/>
          <w:bottom w:w="0" w:type="dxa"/>
          <w:right w:w="0" w:type="dxa"/>
        </w:tblCellMar>
      </w:tblPr>
      <w:tblGrid>
        <w:gridCol w:w="1981"/>
        <w:gridCol w:w="146"/>
        <w:gridCol w:w="675"/>
        <w:gridCol w:w="960"/>
        <w:gridCol w:w="146"/>
        <w:gridCol w:w="420"/>
        <w:gridCol w:w="1215"/>
        <w:gridCol w:w="146"/>
        <w:gridCol w:w="355"/>
        <w:gridCol w:w="1025"/>
        <w:gridCol w:w="146"/>
        <w:gridCol w:w="355"/>
        <w:gridCol w:w="1025"/>
        <w:gridCol w:w="146"/>
        <w:gridCol w:w="352"/>
        <w:gridCol w:w="1073"/>
      </w:tblGrid>
      <w:tr>
        <w:trPr/>
        <w:tc>
          <w:tcPr>
            <w:tcW w:w="19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2025</w:t>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2024</w:t>
            </w:r>
          </w:p>
        </w:tc>
        <w:tc>
          <w:tcPr>
            <w:tcW w:w="146"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2023</w:t>
            </w:r>
          </w:p>
        </w:tc>
      </w:tr>
      <w:tr>
        <w:trPr/>
        <w:tc>
          <w:tcPr>
            <w:tcW w:w="198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bidi w:val="0"/>
              <w:spacing w:before="0" w:after="283"/>
              <w:jc w:val="left"/>
              <w:rPr/>
            </w:pPr>
            <w:r>
              <w:rPr/>
              <w:t> </w:t>
            </w:r>
          </w:p>
        </w:tc>
      </w:tr>
      <w:tr>
        <w:trPr/>
        <w:tc>
          <w:tcPr>
            <w:tcW w:w="1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Jun Li’s affiliate</w:t>
            </w:r>
          </w:p>
        </w:tc>
        <w:tc>
          <w:tcPr>
            <w:tcW w:w="146"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13,795</w:t>
            </w:r>
          </w:p>
        </w:tc>
        <w:tc>
          <w:tcPr>
            <w:tcW w:w="146"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27,684</w:t>
            </w:r>
          </w:p>
        </w:tc>
        <w:tc>
          <w:tcPr>
            <w:tcW w:w="146"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27,443</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28,571</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numbers have been included in the General and administrative expenses of the combined and consolidated statements of income.</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General and administrative expenses shared with a related party</w:t>
      </w:r>
    </w:p>
    <w:tbl>
      <w:tblPr>
        <w:tblW w:w="10205" w:type="dxa"/>
        <w:jc w:val="left"/>
        <w:tblInd w:w="0" w:type="dxa"/>
        <w:tblLayout w:type="fixed"/>
        <w:tblCellMar>
          <w:top w:w="0" w:type="dxa"/>
          <w:left w:w="0" w:type="dxa"/>
          <w:bottom w:w="0" w:type="dxa"/>
          <w:right w:w="0" w:type="dxa"/>
        </w:tblCellMar>
      </w:tblPr>
      <w:tblGrid>
        <w:gridCol w:w="2352"/>
        <w:gridCol w:w="146"/>
        <w:gridCol w:w="413"/>
        <w:gridCol w:w="1196"/>
        <w:gridCol w:w="146"/>
        <w:gridCol w:w="413"/>
        <w:gridCol w:w="1196"/>
        <w:gridCol w:w="146"/>
        <w:gridCol w:w="326"/>
        <w:gridCol w:w="942"/>
        <w:gridCol w:w="146"/>
        <w:gridCol w:w="305"/>
        <w:gridCol w:w="1012"/>
        <w:gridCol w:w="146"/>
        <w:gridCol w:w="324"/>
        <w:gridCol w:w="996"/>
      </w:tblGrid>
      <w:tr>
        <w:trPr/>
        <w:tc>
          <w:tcPr>
            <w:tcW w:w="23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0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0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c>
          <w:tcPr>
            <w:tcW w:w="146" w:type="dxa"/>
            <w:tcBorders/>
            <w:vAlign w:val="bottom"/>
          </w:tcPr>
          <w:p>
            <w:pPr>
              <w:pStyle w:val="TableContents"/>
              <w:bidi w:val="0"/>
              <w:spacing w:before="0" w:after="283"/>
              <w:jc w:val="left"/>
              <w:rPr/>
            </w:pPr>
            <w:r>
              <w:rPr/>
              <w:t> </w:t>
            </w:r>
          </w:p>
        </w:tc>
        <w:tc>
          <w:tcPr>
            <w:tcW w:w="126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2025</w:t>
            </w:r>
          </w:p>
        </w:tc>
        <w:tc>
          <w:tcPr>
            <w:tcW w:w="146" w:type="dxa"/>
            <w:tcBorders/>
            <w:vAlign w:val="bottom"/>
          </w:tcPr>
          <w:p>
            <w:pPr>
              <w:pStyle w:val="TableContents"/>
              <w:bidi w:val="0"/>
              <w:spacing w:before="0" w:after="283"/>
              <w:jc w:val="left"/>
              <w:rPr/>
            </w:pPr>
            <w:r>
              <w:rPr/>
              <w:t> </w:t>
            </w:r>
          </w:p>
        </w:tc>
        <w:tc>
          <w:tcPr>
            <w:tcW w:w="13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2024</w:t>
            </w:r>
          </w:p>
        </w:tc>
        <w:tc>
          <w:tcPr>
            <w:tcW w:w="146" w:type="dxa"/>
            <w:tcBorders/>
            <w:vAlign w:val="bottom"/>
          </w:tcPr>
          <w:p>
            <w:pPr>
              <w:pStyle w:val="TableContents"/>
              <w:bidi w:val="0"/>
              <w:spacing w:before="0" w:after="283"/>
              <w:jc w:val="left"/>
              <w:rPr/>
            </w:pPr>
            <w:r>
              <w:rPr/>
              <w:t> </w:t>
            </w:r>
          </w:p>
        </w:tc>
        <w:tc>
          <w:tcPr>
            <w:tcW w:w="13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2023</w:t>
            </w:r>
          </w:p>
        </w:tc>
      </w:tr>
      <w:tr>
        <w:trPr/>
        <w:tc>
          <w:tcPr>
            <w:tcW w:w="23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0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60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268"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1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20" w:type="dxa"/>
            <w:gridSpan w:val="2"/>
            <w:tcBorders/>
            <w:vAlign w:val="bottom"/>
          </w:tcPr>
          <w:p>
            <w:pPr>
              <w:pStyle w:val="TableContents"/>
              <w:bidi w:val="0"/>
              <w:spacing w:before="0" w:after="283"/>
              <w:jc w:val="left"/>
              <w:rPr/>
            </w:pPr>
            <w:r>
              <w:rPr/>
              <w:t> </w:t>
            </w:r>
          </w:p>
        </w:tc>
      </w:tr>
      <w:tr>
        <w:trPr/>
        <w:tc>
          <w:tcPr>
            <w:tcW w:w="23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Co., Ltd</w:t>
            </w:r>
          </w:p>
        </w:tc>
        <w:tc>
          <w:tcPr>
            <w:tcW w:w="146"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57,508</w:t>
            </w:r>
          </w:p>
        </w:tc>
        <w:tc>
          <w:tcPr>
            <w:tcW w:w="146" w:type="dxa"/>
            <w:tcBorders/>
            <w:shd w:fill="CCEEFF" w:val="clear"/>
            <w:vAlign w:val="bottom"/>
          </w:tcPr>
          <w:p>
            <w:pPr>
              <w:pStyle w:val="TableContents"/>
              <w:bidi w:val="0"/>
              <w:spacing w:before="0" w:after="283"/>
              <w:jc w:val="left"/>
              <w:rPr/>
            </w:pPr>
            <w:r>
              <w:rPr/>
              <w:t> </w:t>
            </w:r>
          </w:p>
        </w:tc>
        <w:tc>
          <w:tcPr>
            <w:tcW w:w="4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55,997</w:t>
            </w:r>
          </w:p>
        </w:tc>
        <w:tc>
          <w:tcPr>
            <w:tcW w:w="146"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92,581</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108,353</w:t>
            </w:r>
          </w:p>
        </w:tc>
        <w:tc>
          <w:tcPr>
            <w:tcW w:w="146"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75,592</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Guarantee by a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June 30, 2025 and 2024, long-term loan totaling $2,101,891, $2,908,945 and $4,505,274, respectively, was guaranteed by Topsheen Shipping Singapore Pte. Ltd., shareholders and affiliates.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7" w:name="T8"/>
      <w:bookmarkEnd w:id="17"/>
      <w:r>
        <w:rPr>
          <w:rFonts w:ascii="Times New Roman PS Std;serif" w:hAnsi="Times New Roman PS Std;serif"/>
          <w:b/>
          <w:i w:val="false"/>
          <w:caps w:val="false"/>
          <w:smallCaps w:val="false"/>
          <w:sz w:val="20"/>
        </w:rPr>
        <w:t xml:space="preserve">DESCRIPTION OF SHARE CAPITAL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a Cayman Islands exempted company and its affairs are governed by its memorandum and articles of association, as amended from time to time, and the Companies Act (As Revised) of the Cayman Islands, which we refer to as the Companies Act below, and the common law of the 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Intercont’s authorized share capital is US$100,000.00 divided into 40,000,000 shares of a par value of US$0.0025 each (each an “Ordinary Share” or “share” in this section) comprising (i) 39,793,401.96 Class A Ordinary Shares of a par value of US$0.0025 each (each a “Class A Ordinary Share” in this section) and (ii) 206,598.04 Class B Ordinary Shares of a par value of US$0.0025 each (each a “Class B Ordinary Share” in this section).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1,437,740Class A Ordinary Shares and 206,598.04 Class B Ordinary Shares are issued and outstanding. All of our issued and outstanding Class A Ordinary Shares and Class B Ordinary Shares are fully paid and non-assessable. All of the Intercont’s Class A Ordinary Shares to be issued in the offering will be issued as fully paid.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completion of this offering, Intercont intends to convene an extraordinary general meeting of its shareholders (the “EGM”) to approve an increase in its authorized share capital to US$250,000,000.00, divided into 100,000,000,000 Ordinary Share comprising (i) 80,000,000,000 Class A Ordinary Shares of a par value of US$0.0025 each and (ii) 20,000,000,000 Class B Ordinary Shares of a par value of US$0.0025 each.</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Intercont’s Memorandum and Articles of Association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currently governed by its second amended and restated memorandum and articles of association adopted on 26 January 2026 (the “Memorandum and Articles”). Intercont will hold a meeting of holder of Class A Ordinary Shares and an extraordinary general meeting on June 5, 2026 to adopt, amongst other things, the third amended and restated memorandum and articles of association (the “Amended M&amp;A”). The following are summaries of material provisions of Amended M&amp;A and of the Companies Act, insofar as they relate to the material terms of Intercont’s Class A Ordinary Shares and Class B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Objects of Intercont.    </w:t>
      </w:r>
      <w:r>
        <w:rPr>
          <w:rFonts w:ascii="Times New Roman PS Std;serif" w:hAnsi="Times New Roman PS Std;serif"/>
          <w:b w:val="false"/>
          <w:i w:val="false"/>
          <w:caps w:val="false"/>
          <w:smallCaps w:val="false"/>
          <w:sz w:val="20"/>
        </w:rPr>
        <w:t>Under Intercont’s Amended M&amp;A, the objects of Intercont are unrestricted, and Intercont is capable of exercising all the functions of a natural person of full capacity irrespective of any question of corporate benefit, as provided by section 27(2) of the Companies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Ordinary Shares.    </w:t>
      </w:r>
      <w:r>
        <w:rPr>
          <w:rFonts w:ascii="Times New Roman PS Std;serif" w:hAnsi="Times New Roman PS Std;serif"/>
          <w:b w:val="false"/>
          <w:i w:val="false"/>
          <w:caps w:val="false"/>
          <w:smallCaps w:val="false"/>
          <w:sz w:val="20"/>
        </w:rPr>
        <w:t>Our Class A Ordinary Shares and Class B Ordinary Shares are issued in registered form, and are issued when registered in our register of members. Unless the board of directors determine or the shareholder requests a share certificate in writing from us, otherwise, each holder of our Class A Ordinary Shares or Class B Ordinary Shares will not receive a certificate in respect of such shares. Our shareholders who are non-residents of the Cayman Islands may freely hold and vote their Class A Ordinary Shares and Class B Ordinary Shares. We may not issue shares or warrants to bearer.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Every share certificate of the Company shall bear legends required by the applicable laws, including the Securities Act and the Exchange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provisions of the Cayman Companies Act and our Amended M&amp;A regarding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Cayman Companies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Dividends.    </w:t>
      </w:r>
      <w:r>
        <w:rPr>
          <w:rFonts w:ascii="Times New Roman PS Std;serif" w:hAnsi="Times New Roman PS Std;serif"/>
          <w:b w:val="false"/>
          <w:i w:val="false"/>
          <w:caps w:val="false"/>
          <w:smallCaps w:val="false"/>
          <w:sz w:val="20"/>
        </w:rPr>
        <w:t>The holders of Intercont’s Ordinary Shares are entitled to such dividends as may be declared by Intercont’s board of directors. Intercont’s Amended M&amp;A provide that dividends may be declared and paid out of the funds of Intercont lawfully available therefor. Under the laws of the Cayman Islands, Intercont may pay a dividend out of profit or share premium account or other funds legally available for distribution; provided that in no circumstances may a dividend be paid out of Intercont’s share premium account if this would result in Intercont being unable to pay its debts as they fall due in the ordinary course of business immediately following the date on which the distribution or dividend is proposed to be paid.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Voting Rights.    </w:t>
      </w:r>
      <w:r>
        <w:rPr>
          <w:rFonts w:ascii="Times New Roman PS Std;serif" w:hAnsi="Times New Roman PS Std;serif"/>
          <w:b w:val="false"/>
          <w:i w:val="false"/>
          <w:caps w:val="false"/>
          <w:smallCaps w:val="false"/>
          <w:sz w:val="20"/>
        </w:rPr>
        <w:t>At any general meeting, a resolution put to the vote of the meeting shall be decided on a show of hands, unless a poll (before or on the declaration of the results of the show of hands) is demanded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chairman of the meeting;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one or more shareholder(s) present in person or by proxy entitled to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current Memorandum and Articles and Amended M&amp;A provide that on a poll, every shareholder who is present in person and every person representing a shareholder by proxy shall have one vote for each Class A Ordinary Share and one hundred votes for each Class B Ordinary Share of which he or the person represented by proxy is the holder. In addition, all shareholders holding shares of a particular class are entitled to vote at a meeting of the holders of that class of shares. Votes may be given either personally or by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including but not limited to a change of name, making changes to Intercont’s memorandum and articles of association and a reduction of Intercont’s share capital. Intercont’s shareholders may, among other things, divide or consolidate their shares by ordinary resolution.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Conversion Rights.    </w:t>
      </w:r>
      <w:r>
        <w:rPr>
          <w:rFonts w:ascii="Times New Roman PS Std;serif" w:hAnsi="Times New Roman PS Std;serif"/>
          <w:b w:val="false"/>
          <w:i w:val="false"/>
          <w:caps w:val="false"/>
          <w:smallCaps w:val="false"/>
          <w:sz w:val="20"/>
        </w:rPr>
        <w:t>Class A Ordinary Shares are not convertible. Class B Ordinary Shares are convertible, at the option of the holder thereof, into Class A Ordinary Shares on a one-to-one basis. Subject to our Amended M&amp;A, upon any transfer or disposition of Class B Ordinary Shares by a holder thereof to any person or entity which is not an affiliate of such holder, or upon a change of ultimate beneficial ownership of any Class B Ordinary Share to any person or entity which is not an affiliate of such holder, such Class B Ordinary Shares shall be automatically and immediately converted into the same number of Class A Ordinary Shares on a one-to-one basis.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Alteration of Share Capital.    </w:t>
      </w:r>
      <w:r>
        <w:rPr>
          <w:rFonts w:ascii="Times New Roman PS Std;serif" w:hAnsi="Times New Roman PS Std;serif"/>
          <w:b w:val="false"/>
          <w:i w:val="false"/>
          <w:caps w:val="false"/>
          <w:smallCaps w:val="false"/>
          <w:sz w:val="20"/>
        </w:rPr>
        <w:t>We may from time to time by ordinary resolution of shareholders increase the share capital by such sum, to be divided into shares of such classes or series and amounts, as the resolution shall prescribe.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Cayman Companies Act, our shareholders may, by ordinary resolution: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consolidate and divide all or any of our share capital into shares of lesser or larger amount than our existing shares;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convert all or any of our paid-up shares into stock, and reconvert that stock into paid up shares of any denomination;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cancel any shares which, at the date of the passing of that ordinary resolution, have not been taken or agreed to be taken by any person and diminish the amount of our share capital by the amount of the shares so cancelled.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Cayman Companies Act and to any rights for the time being conferred on the shareholders holding a particular class of shares, our shareholders may, by special resolution, reduce the Company’s share capital and any capital redemption reserve in any manner, authorized and with consent required by the Cayman Companies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General Meetings of Shareholders.    </w:t>
      </w:r>
      <w:r>
        <w:rPr>
          <w:rFonts w:ascii="Times New Roman PS Std;serif" w:hAnsi="Times New Roman PS Std;serif"/>
          <w:b w:val="false"/>
          <w:i w:val="false"/>
          <w:caps w:val="false"/>
          <w:smallCaps w:val="false"/>
          <w:sz w:val="20"/>
        </w:rPr>
        <w:t>As a Cayman Islands exempted company, Intercont is not obliged by the Companies Act to call shareholders’ annual general meetings under the laws of the Cayman Islands. Intercont’s Amended M&amp;A provide that Intercont may (but shall not be obliged to), in each year hold a general meeting as its annual general meeting, and shall specify the meeting as such in the notices calling it, and the annual general meeting shall be held at such time and place as may be determined by Intercont’s directors. A shareholder who is entitled to participate in any specific or general meeting of the Company, may participate by means of telephone or similar communication equipment by way of which all persons participating in such meeting can hear each other and such participation shall be deemed to constitute presence in person at the meeting.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Shareholders’ general meetings may be convened by Intercont’s board of directors. Advance notice of not less than ten days (excluding the day service is deemed to take place as provided in the articles of association but including the day of the meeting) is required for the convening of Intercont’s annual general shareholders’ meeting (if any) and any other general meeting of Intercont’s shareholders. A quorum required for any general meeting of shareholders consists of, at the time when the meeting proceeds to business, one or more shareholders holding shares which carry in aggregate (or representing by proxy) not less than one-third of all votes attaching to issued and outstanding shares in Intercont entitled to vote at such general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does not provide shareholders with any right to requisition a general meeting or to put any proposal before a general meeting. However, these rights may be provided in a company’s articles of association. Intercont’s Amended M&amp;A and Memorandum and Articles provide that upon the requisition of any one or more of Intercont’s shareholders which hold not less than 10% of the paid up voting share capital of Intercont, Intercont’s board will convene an extraordinary general meeting and put the resolutions so requisitioned to a vote at such meeting. However, Intercont’s Amended M&amp;A do not provide Intercont’s shareholders with any right to put any proposals before annual general meetings or extraordinary general meetings not called by such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Transfer of Ordinary Shares.    </w:t>
      </w:r>
      <w:r>
        <w:rPr>
          <w:rFonts w:ascii="Times New Roman PS Std;serif" w:hAnsi="Times New Roman PS Std;serif"/>
          <w:b w:val="false"/>
          <w:i w:val="false"/>
          <w:caps w:val="false"/>
          <w:smallCaps w:val="false"/>
          <w:sz w:val="20"/>
        </w:rPr>
        <w:t>Subject to the restrictions set out below, any of Intercont’s shareholders may transfer all or any of his or her Ordinary Shares by an instrument of transfer in the usual or common form or any other form approved by Intercont’s board of directors. Notwithstanding the foregoing, Ordinary Shares may also be transferred in accordance with the applicable rules and regulations of the relevant stock exchange.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board of directors may, in its absolute discretion, decline to register any transfer of any ordinary share which is not fully paid up or on which Intercont has a lien. Intercont’s board of directors may also decline to register any transfer of any ordinary share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lodged with us, accompanied by the certificate for the Ordinary Shares to which it relates and such other evidence as Intercont’s board of directors may reasonably require to show the right of the transferor to make the transfer;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in respect of only one class of Ordinary Shares;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instrument of transfer is properly stamped, if required;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case of a transfer to joint holders, the number of joint holders to whom the Ordinary Share is to be transferred does not exceed four;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fee of such maximum sum as the relevant stock exchange may determine to be payable or such lesser sum as Intercont’s directors may from time to time require is paid to us in respect thereof.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Intercont’s directors refuse to register a transfer they shall, within six weeks after the date on which the transfer was lodged with Intercont, send to each of the transferor and the transferee notice of such refusal.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of transfers may, on ten days’ notice being given by advertisement in such one or more newspapers, by electronic means or by other means in accordance with the rules of the relevant stock exchange, be suspended and the register closed at such times and for such periods as Intercont’s board of directors may from time to time determine; provided, however, that the registration of transfers shall not be suspended nor the register of members closed for more than 30 days in any calendar year.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 of Class B Ordinary Shares will be subject to restrictions as mentioned in the “Conversion Rights” above.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Liquidation.    </w:t>
      </w:r>
      <w:r>
        <w:rPr>
          <w:rFonts w:ascii="Times New Roman PS Std;serif" w:hAnsi="Times New Roman PS Std;serif"/>
          <w:b w:val="false"/>
          <w:i w:val="false"/>
          <w:caps w:val="false"/>
          <w:smallCaps w:val="false"/>
          <w:sz w:val="20"/>
        </w:rPr>
        <w:t>If Intercont shall be wound up, the liquidator, with the sanction of an ordinary resolution or any other sanction required by the Companies Act, divide amongst of Intercont in specie the whole or any part of the assets of Intercont (whether they shall consist of property of the same kind or not) and may, for such purpose set such value as he deems fair upon any property to be divided as aforesaid and may determine how such division shall be carried out between the shareholders or different class or series of shares. The liquidator may, with the like sanction, vest the whole or any part of such assets in trustees upon such trusts for the benefit of the contributories as the liquidator, with the like sanction shall think fit, but so that no shareholder shall be compelled to accept any shares or other securities whereon there is any liability.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Calls on Shares and Forfeiture of Shares.    </w:t>
      </w:r>
      <w:r>
        <w:rPr>
          <w:rFonts w:ascii="Times New Roman PS Std;serif" w:hAnsi="Times New Roman PS Std;serif"/>
          <w:b w:val="false"/>
          <w:i w:val="false"/>
          <w:caps w:val="false"/>
          <w:smallCaps w:val="false"/>
          <w:sz w:val="20"/>
        </w:rPr>
        <w:t>Intercont’s board of directors may from time to time make calls upon shareholders for any amounts unpaid on their shares and each shareholder shall (subject to receiving at least 14 days’ notice specifying the time and times of payment) pay to Intercont at the time or times so specified the amount called on such shares. If a shareholder fails to pay any call or instalment of a call in respect of partly paid shares on the day appointed for payment, Intercont’s board of directors may, at any time thereafter during such time as any part of such call or instalment remains unpaid, serve a notice on him requiring payment of so much of the call or instalment as is unpaid, together with any interest which may have accrued, naming a further day (not earlier than the expiration of 14 days from the date of the notice) on or before which the payment required by the notice is to be made and specifying that in the event of non-payment at or before the time appointed the shares in respect of which the call was made will be liable to be forfeited. If the requirement of any such notices as aforesaid are not complied with, any share in respect of which the notice has been given may, at any time thereafter before the payment required by notice has been made, be forfeited by a resolution of Intercont’s board of directors to that effect.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Repurchase and Surrender of Shares.    </w:t>
      </w:r>
      <w:r>
        <w:rPr>
          <w:rFonts w:ascii="Times New Roman PS Std;serif" w:hAnsi="Times New Roman PS Std;serif"/>
          <w:b w:val="false"/>
          <w:i w:val="false"/>
          <w:caps w:val="false"/>
          <w:smallCaps w:val="false"/>
          <w:sz w:val="20"/>
        </w:rPr>
        <w:t>Subject to the Companies Act and Intercont’s Amended M&amp;A</w:t>
      </w:r>
      <w:r>
        <w:rPr>
          <w:rFonts w:ascii="Times New Roman PS Std;serif" w:hAnsi="Times New Roman PS Std;serif"/>
          <w:b w:val="false"/>
          <w:i/>
          <w:caps w:val="false"/>
          <w:smallCaps w:val="false"/>
          <w:sz w:val="20"/>
        </w:rPr>
        <w:t>, </w:t>
      </w:r>
      <w:r>
        <w:rPr>
          <w:rFonts w:ascii="Times New Roman PS Std;serif" w:hAnsi="Times New Roman PS Std;serif"/>
          <w:b w:val="false"/>
          <w:i w:val="false"/>
          <w:caps w:val="false"/>
          <w:smallCaps w:val="false"/>
          <w:sz w:val="20"/>
        </w:rPr>
        <w:t>Intercont may issue shares on terms that such shares are subject to redemption, at Intercont’s option or at the option of the holders of these shares, on such terms and in such manner as may be determined by either its board of directors or by special resolutions. Intercont may also repurchase any of its shares on such terms and in such manner as have been approved by its board of directors or by ordinary resolutions, or are otherwise authorized by Intercont’s Amended M&amp;A. Under the Companies Act, the redemption or repurchase of any share may be paid out of Intercont’s profits, share premium account or out of the proceeds of a new issue of shares made for the purpose of such redemption or repurchase, or out of capital if Intercont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Intercont may accept the surrender of any fully paid share for no 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Variations of Rights of Shares.    </w:t>
      </w:r>
      <w:r>
        <w:rPr>
          <w:rFonts w:ascii="Times New Roman PS Std;serif" w:hAnsi="Times New Roman PS Std;serif"/>
          <w:b w:val="false"/>
          <w:i w:val="false"/>
          <w:caps w:val="false"/>
          <w:smallCaps w:val="false"/>
          <w:sz w:val="20"/>
        </w:rPr>
        <w:t xml:space="preserve">Whenever the capital of Intercont is divided into different classes the rights attached to any such class may, subject to any rights or restrictions for the time being attached to any class and the articles of association of the Company, only be materially adversely varied with the consent in writing of the holders of two-thirds of the issued shares of that class or series, or with the sanction of a resolution passed by a majority of two-thirds of the holders of shares of the class or series present in person or by proxy and entitled to vote at a separate meeting of the holders of the shares of the class or series. The special rights conferred upon the holders of the shares of any class issued with preferred or other rights shall not, unless otherwise expressly provided by the terms of issue of the shares of that class, be deemed to be materially varied by the creation, allotment or issue of further shares ranking </w:t>
      </w:r>
      <w:r>
        <w:rPr>
          <w:rFonts w:ascii="Times New Roman PS Std;serif" w:hAnsi="Times New Roman PS Std;serif"/>
          <w:b w:val="false"/>
          <w:i/>
          <w:caps w:val="false"/>
          <w:smallCaps w:val="false"/>
          <w:sz w:val="20"/>
        </w:rPr>
        <w:t>pari passu</w:t>
      </w:r>
      <w:r>
        <w:rPr>
          <w:rFonts w:ascii="Times New Roman PS Std;serif" w:hAnsi="Times New Roman PS Std;serif"/>
          <w:b w:val="false"/>
          <w:i w:val="false"/>
          <w:caps w:val="false"/>
          <w:smallCaps w:val="false"/>
          <w:sz w:val="20"/>
        </w:rPr>
        <w:t xml:space="preserve"> therewith or subsequent to them or the redemption or purchase of any share of any class by the Company. The rights attached to or otherwise conferred upon the holders of the shares of any class shall not be deemed to be materially adversely varied by the creation or issue of shares with preferred or other rights in accordance with the Amended M&amp;A.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Issuance of Additional Shares.    </w:t>
      </w:r>
      <w:r>
        <w:rPr>
          <w:rFonts w:ascii="Times New Roman PS Std;serif" w:hAnsi="Times New Roman PS Std;serif"/>
          <w:b w:val="false"/>
          <w:i w:val="false"/>
          <w:caps w:val="false"/>
          <w:smallCaps w:val="false"/>
          <w:sz w:val="20"/>
        </w:rPr>
        <w:t>Intercont’s Amended M&amp;A authorizes its board of directors to issue additional Ordinary Shares from time to time as its board of directors shall determine, to the extent of available authorized but unissued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Amended M&amp;A also authorizes its board of directors to establish from time to time one or more series of preference shares and to determine, with respect to any series of preference shares, the terms and rights of that series.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Intercont’s board of directors may issue preference shares without action by Intercont’s shareholders to the extent of available authorized but unissued shares. Issuance of these shares may dilute the voting power of holders of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shall not issue shares to bearer.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Inspection of Books and Records.    </w:t>
      </w:r>
      <w:r>
        <w:rPr>
          <w:rFonts w:ascii="Times New Roman PS Std;serif" w:hAnsi="Times New Roman PS Std;serif"/>
          <w:b w:val="false"/>
          <w:i w:val="false"/>
          <w:caps w:val="false"/>
          <w:smallCaps w:val="false"/>
          <w:sz w:val="20"/>
        </w:rPr>
        <w:t>Holders of Intercont’s Ordinary Shares will have no general right under Cayman Islands law to inspect or obtain copies of Intercont’s list of shareholders or its corporate records. Intercont’s Amended M&amp;A provide that no shareholder (not being a director) shall have any right of inspecting any account or book or document of Intercont except as conferred by law, the stock exchange rules or authorized by the directors or by ordinary resolution.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Anti-Takeover</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Provisions.    </w:t>
      </w:r>
      <w:r>
        <w:rPr>
          <w:rFonts w:ascii="Times New Roman PS Std;serif" w:hAnsi="Times New Roman PS Std;serif"/>
          <w:b w:val="false"/>
          <w:i w:val="false"/>
          <w:caps w:val="false"/>
          <w:smallCaps w:val="false"/>
          <w:sz w:val="20"/>
        </w:rPr>
        <w:t>Some provisions of Intercont’s Amended M&amp;A may discourage, delay or prevent a change of control of Intercont or management that shareholders may consider favorable, including provisions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authorize Intercont’s board of directors to issue preference shares in one or more series and to designate the price, rights, preferences, privileges and restrictions of such preference shares without any further vote or action by Intercont’s shareholders;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limit the ability of shareholders to requisition and convene general meetings of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under Cayman Islands law, Intercont’s directors may only exercise the rights and powers granted to them under its memorandum and articles of association for a proper purpose and for what they believe in good faith to be in the best interests of Intercont.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Exempted Company.    </w:t>
      </w:r>
      <w:r>
        <w:rPr>
          <w:rFonts w:ascii="Times New Roman PS Std;serif" w:hAnsi="Times New Roman PS Std;serif"/>
          <w:b w:val="false"/>
          <w:i w:val="false"/>
          <w:caps w:val="false"/>
          <w:smallCaps w:val="false"/>
          <w:sz w:val="20"/>
        </w:rPr>
        <w:t>Intercont is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does not have to file an annual return of its shareholders with the Registrar of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 not required to open its register of members for inspection;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does not have to hold an annual general meeting;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issue shares with no par value;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obtain an undertaking against the imposition of any future taxation (such undertakings are usually given for 20 years in the first instance);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register by way of continuation in another jurisdiction and be deregistered in the Cayman Islands;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register as an exempted limited duration company;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may register as a segregated portfolio company.</w:t>
      </w:r>
    </w:p>
    <w:p>
      <w:pPr>
        <w:pStyle w:val="TextBody"/>
        <w:keepNext w:val="false"/>
        <w:pageBreakBefore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Differences in Corporate Law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United States and their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Mergers and Similar Arrangements.    </w:t>
      </w:r>
      <w:r>
        <w:rPr>
          <w:rFonts w:ascii="Times New Roman PS Std;serif" w:hAnsi="Times New Roman PS Std;serif"/>
          <w:b w:val="false"/>
          <w:i w:val="false"/>
          <w:caps w:val="false"/>
          <w:smallCaps w:val="false"/>
          <w:sz w:val="20"/>
        </w:rPr>
        <w:t xml:space="preserve">The Companies Act permits mergers and combinations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“combination” means the combination of two or more constituent companies into a consolidated company and the vesting of the undertaking, property and liabilities of such companies to the consolidated company. In order to effect such a merger or combination, the directors of each constituent company must approve a written plan of merger or combination,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certificate of good standing, a director’s declaration as to the solvency of the consolidated or surviving company and other specified content as required by the Companies Act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undertaking that a copy of the certificate of merger or combination will be given to the members and creditors of each constituent company and that notification of the merger or combination will be published in the Cayman Islands Gazette. Court approval is not required for a merger or consolidation which is effected in compliance with these statutory procedures.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Save in certain limited circumstances, a shareholder of a Cayman constituent company who dissents from the merger or combination is entitled to payment of the fair value of his shares (which, if not agreed between the parties, will be determined by the Cayman Islands court) upon dissenting to the merger or combination,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combination is void or unlawful.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Separate from the statutory provisions relating to mergers and combinations, the Companies Act also contains statutory provisions that facilitate the reconstruction and amalgamation of companies by way of schemes of arrangement, provided that the arrangement is approved by seventy-five per cent in value of the members or class of members, as the case may be, with whom the arrangement is to be made and a majority in number of the creditors or each class of creditors with whom the arrangement is to be made, and who must in addition represent seventy-five per cent in value of the creditors or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statutory provisions as to the required majority vote have been met;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arrangement is such that may be reasonably approved by an intelligent and honest man of that class acting in respect of his interest;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arrangement is not one that would more properly be sanctioned under some other provision of the Companies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also contains a statutory power of compulsory acquisition which may facilitate the “squeeze out” of a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Shareholders’ Suits.    </w:t>
      </w:r>
      <w:r>
        <w:rPr>
          <w:rFonts w:ascii="Times New Roman PS Std;serif" w:hAnsi="Times New Roman PS Std;serif"/>
          <w:b w:val="false"/>
          <w:i w:val="false"/>
          <w:caps w:val="false"/>
          <w:smallCaps w:val="false"/>
          <w:sz w:val="20"/>
        </w:rPr>
        <w:t>In principle, Intercont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w:t>
      </w:r>
      <w:r>
        <w:rPr>
          <w:rFonts w:ascii="Times New Roman PS Std;serif" w:hAnsi="Times New Roman PS Std;serif"/>
          <w:b w:val="false"/>
          <w:i/>
          <w:caps w:val="false"/>
          <w:smallCaps w:val="false"/>
          <w:sz w:val="20"/>
        </w:rPr>
        <w:t>Foss v. Harbottle</w:t>
      </w:r>
      <w:r>
        <w:rPr>
          <w:rFonts w:ascii="Times New Roman PS Std;serif" w:hAnsi="Times New Roman PS Std;serif"/>
          <w:b w:val="false"/>
          <w:i w:val="false"/>
          <w:caps w:val="false"/>
          <w:smallCaps w:val="false"/>
          <w:sz w:val="20"/>
        </w:rPr>
        <w:t> and the exceptions thereto) so that a non-controlling shareholder may be permitted to commence a class action against or derivative actions in the name of the company to challenge actions where: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company acts or proposes to act illegally or ultra vires;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act complained of, although not ultra vires, could only be effected duly if authorized by more than the number of votes which have actually been obtained;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those who control the company are perpetrating a “fraud on the minority.”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may have a direct right of action against us where the individual rights of that shareholder have been infringed or are about to be infringed.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Indemnification of Directors and Executive Officers and Limitation of Liability.    </w:t>
      </w:r>
      <w:r>
        <w:rPr>
          <w:rFonts w:ascii="Times New Roman PS Std;serif" w:hAnsi="Times New Roman PS Std;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Intercont’s memorandum and articles of association provide that that Intercont shall indemnify its directors and officers, and their personal representatives, against all actions, proceedings, costs, charges, expenses, losses, damages or liabilities incurred or sustained by such persons, other than by reason of such person’s dishonesty, wilful default or fraud, in or about the conduct of Intercont’s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Intercont or its affairs in any court whether in the Cayman Islands or elsewhere. This standard of conduct is generally the same as permitted under the Delaware General Corporation Law for a Delaware corporation.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Intercont has entered into indemnification agreements with Intercont’s directors and executive officers that provide such persons with additional indemnification beyond that provided in Intercont’s memorandum and articles of association.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Intercont’s directors, officers or persons controlling us under the foregoing provisions, Intercont has been informed that in the opinion of the SEC, such indemnification is against public policy as expressed in the Securities Act and is therefore unenforceable.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Directors’ Fiduciary Duties.    </w:t>
      </w:r>
      <w:r>
        <w:rPr>
          <w:rFonts w:ascii="Times New Roman PS Std;serif" w:hAnsi="Times New Roman PS Std;serif"/>
          <w:b w:val="false"/>
          <w:i w:val="false"/>
          <w:caps w:val="false"/>
          <w:smallCaps w:val="false"/>
          <w:sz w:val="20"/>
        </w:rPr>
        <w:t xml:space="preserve">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Shareholder Action by Written Resolution.    </w:t>
      </w:r>
      <w:r>
        <w:rPr>
          <w:rFonts w:ascii="Times New Roman PS Std;serif" w:hAnsi="Times New Roman PS Std;serif"/>
          <w:b w:val="false"/>
          <w:i w:val="false"/>
          <w:caps w:val="false"/>
          <w:smallCaps w:val="false"/>
          <w:sz w:val="20"/>
        </w:rPr>
        <w:t>Under the Delaware General Corporation Law (“DGCL”), a corporation may eliminate the right of shareholders to act by written resolution by amendment to its certificate of incorporation. Cayman Islands law permits us to eliminate the right of shareholders to act by written consent and Intercont’s amended and restated articles of association provide that any action required or permitted to be taken at any general meetings may be taken upon the vote of shareholders at a general meeting duly noticed and convened in accordance with Intercont’s amended and restated articles of association and may be taken by a unanimous written consent signed by or on behalf of each shareholder who would have been entitled to vote on such matter at a general meeting without a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Shareholder Proposals.    </w:t>
      </w:r>
      <w:r>
        <w:rPr>
          <w:rFonts w:ascii="Times New Roman PS Std;serif" w:hAnsi="Times New Roman PS Std;serif"/>
          <w:b w:val="false"/>
          <w:i w:val="false"/>
          <w:caps w:val="false"/>
          <w:smallCaps w:val="false"/>
          <w:sz w:val="20"/>
        </w:rPr>
        <w:t>Under the DGCL,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Cayman Islands laws provide shareholders with only limited rights to requisition a general meeting and do not provide shareholders with any right to put any proposal before a general meeting. However, these rights may be provided in a company’s articles of association. Intercont’s amended and restated articles of association allow Intercont’s shareholders holding shares which carry in aggregate not less than 10% of the paid up voting share capital of the Company to requisition a general meeting of Intercont’s shareholders, in which case Intercont’s board is obliged to convene an extraordinary general meeting and to put the resolutions so requisitioned to a vote at such meeting. Other than this right to requisition a shareholders’ meeting, Intercont’s amended and restated articles of association do not provide Intercont’s shareholders with any other right to put proposals before annual general meetings or extraordinary general meetings. As an exempted Cayman Islands company, Intercont is not obliged by laws of the Cayman Islands to call shareholders’ annual general meetings.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Cumulative Voting.    </w:t>
      </w:r>
      <w:r>
        <w:rPr>
          <w:rFonts w:ascii="Times New Roman PS Std;serif" w:hAnsi="Times New Roman PS Std;serif"/>
          <w:b w:val="false"/>
          <w:i w:val="false"/>
          <w:caps w:val="false"/>
          <w:smallCaps w:val="false"/>
          <w:sz w:val="20"/>
        </w:rPr>
        <w:t>Under the DGCL,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Intercont’s amended and restated articles of association do not provide for cumulative voting. As a result, Intercont’s shareholders are not afforded any less protections or rights on this issue than shareholders of a Delaware corporation.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Removal of Directors.    </w:t>
      </w:r>
      <w:r>
        <w:rPr>
          <w:rFonts w:ascii="Times New Roman PS Std;serif" w:hAnsi="Times New Roman PS Std;serif"/>
          <w:b w:val="false"/>
          <w:i w:val="false"/>
          <w:caps w:val="false"/>
          <w:smallCaps w:val="false"/>
          <w:sz w:val="20"/>
        </w:rPr>
        <w:t>Under the DGCL, a director of a corporation with a classified board may be removed only for cause with the approval of a majority of the outstanding shares entitled to vote, unless the certificate of incorporation provides otherwise. Under Intercont’s amended and restated articles of association, subject to certain restrictions as contained therein, directors may be removed with or without cause, by an ordinary resolution of Intercont’s shareholders. Under Intercont’s amended and restated articles of association, a director’s office shall be vacated if the director (i) becomes bankrupt makes any arrangement or composition with his creditors; (ii) is found to be or becomes of unsound mind or dies; (iii) resigns his office by notice in writing to the company; (iv) without special leave of absence from Intercont’s board of directors, is absent from three consecutive meetings of the board and the board resolves that his office be vacated; (v) is prohibited by law from being a director or; (vi) is removed from office by ordinary resolutions.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Transactions with Interested Shareholders.    </w:t>
      </w:r>
      <w:r>
        <w:rPr>
          <w:rFonts w:ascii="Times New Roman PS Std;serif" w:hAnsi="Times New Roman PS Std;serif"/>
          <w:b w:val="false"/>
          <w:i w:val="false"/>
          <w:caps w:val="false"/>
          <w:smallCaps w:val="false"/>
          <w:sz w:val="20"/>
        </w:rPr>
        <w:t>The DGCL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has no comparable statute. As a result, Intercont cannot avail itself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Dissolution; Winding up.    </w:t>
      </w:r>
      <w:r>
        <w:rPr>
          <w:rFonts w:ascii="Times New Roman PS Std;serif" w:hAnsi="Times New Roman PS Std;serif"/>
          <w:b w:val="false"/>
          <w:i w:val="false"/>
          <w:caps w:val="false"/>
          <w:smallCaps w:val="false"/>
          <w:sz w:val="20"/>
        </w:rPr>
        <w:t>Under the DGCL,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Cayman Islands law, a company may be wound up by either an order of the courts of the Cayman Islands or voluntarily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Variation of Rights of Shares.    </w:t>
      </w:r>
      <w:r>
        <w:rPr>
          <w:rFonts w:ascii="Times New Roman PS Std;serif" w:hAnsi="Times New Roman PS Std;serif"/>
          <w:b w:val="false"/>
          <w:i w:val="false"/>
          <w:caps w:val="false"/>
          <w:smallCaps w:val="false"/>
          <w:sz w:val="20"/>
        </w:rPr>
        <w:t>Under the DGCL, a corporation may vary the rights of a class of shares with the approval of a majority of the outstanding shares of such class, unless the certificate of incorporation provides otherwise. Under Intercont’s amended and restated articles of association, if Intercont’s share capital is divided into more than one class of shares, the rights attached to any such class may only be varied with the consent in writing of the holders of two-thirds of the issued shares of that class or series, or with the sanction of a resolution passed by at least a two-thirds majority of the holders of shares of the class or series present in person or by proxy and entitled to vote at a separate meeting of the holders of the shares of the class or series.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Amendment of Governing Documents.    </w:t>
      </w:r>
      <w:r>
        <w:rPr>
          <w:rFonts w:ascii="Times New Roman PS Std;serif" w:hAnsi="Times New Roman PS Std;serif"/>
          <w:b w:val="false"/>
          <w:i w:val="false"/>
          <w:caps w:val="false"/>
          <w:smallCaps w:val="false"/>
          <w:sz w:val="20"/>
        </w:rPr>
        <w:t>Under the DGCL, a corporation’s governing documents may be amended with the approval of a majority of the outstanding shares entitled to vote, unless the certificate of incorporation provides otherwise. Under Cayman Islands law, Intercont’s memorandum and articles of association may only be amended with a special resolution of Intercont’s shareholders.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Rights of Non-resident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caps w:val="false"/>
          <w:smallCaps w:val="false"/>
          <w:sz w:val="20"/>
        </w:rPr>
        <w:t>or Foreign Shareholders.    </w:t>
      </w:r>
      <w:r>
        <w:rPr>
          <w:rFonts w:ascii="Times New Roman PS Std;serif" w:hAnsi="Times New Roman PS Std;serif"/>
          <w:b w:val="false"/>
          <w:i w:val="false"/>
          <w:caps w:val="false"/>
          <w:smallCaps w:val="false"/>
          <w:sz w:val="20"/>
        </w:rPr>
        <w:t>There are no limitations imposed by Intercont’s memorandum and articles of association on the rights of non-resident or foreign shareholders to hold or exercise voting rights on Intercont’s shares. In addition, there are no provisions in Intercont’s memorandum and articles of association governing the ownership threshold above which shareholder ownership must be disclosed.</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 and Registrar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transfer agent and registrar for Intercont’s Ordinary Shares is Transhare Corporation. The transfer agent and registrar’s address is Bayside Center 1, 17755 US Highway 19 N, Suite 140, Clearwater FL 33764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8" w:name="T7"/>
      <w:bookmarkEnd w:id="18"/>
      <w:r>
        <w:rPr>
          <w:rFonts w:ascii="Times New Roman PS Std;serif" w:hAnsi="Times New Roman PS Std;serif"/>
          <w:b/>
          <w:i w:val="false"/>
          <w:caps w:val="false"/>
          <w:smallCaps w:val="false"/>
          <w:sz w:val="20"/>
        </w:rPr>
        <w:t xml:space="preserve">SHARES ELIGIBLE FOR FUTURE SALE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this offering, we will have [•] Class A Ordinary Shares issued. In addition, for each Class A Ordinary Share sold in this offering, one (1) additional Class A Ordinary Shares will be issuable upon exercise of each Warrant issued in connection with each Class A Ordinary Share sold or two (2) additional Class A Ordinary Shares will be issuable under each Warrant upon exercise at the zero exercise price. All of the Class A Ordinary Shares sold in this Offering will be freely transferable by persons other than by our “affiliates” without restriction or further registration under the Securities Act. Sales of substantial amounts of our Class A Ordinary Shares in the public market could adversely affect prevailing market prices of our Class A Ordinary Shares.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144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under Rule 144 as currently in effect, a person (or persons whose shares are aggregated) who at the time of a sale is not, and has not been during the three months preceding the sale, an affiliate of ours and has beneficially owned our restricted securities for at least six months is entitled to sell the restricted securities without registration under the Securities Act, subject to the availability of current public information about us, and will be entitled to sell restricted securities beneficially owned for at least one year without restriction. Persons who are our affiliates (including persons beneficially owning 10% or more of our outstanding shares) and have beneficially owned our restricted securities for at least six months may sell within any three-month period a number of restricted securities that does not exceed the greater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then outstanding ordinary shares of the same class;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trading volume of our ordinary shares of the same class on the Nasdaq Global Market during the four calendar weeks preceding the date on which notice of the sale on Form 144 is filed with the SEC.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Such sales are also subject to manner-of-sale provisions, notice requirements and the availability of current public information about 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701</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90 days after we became a reporting company, persons other than affiliates who purchased ordinary shares under a written compensatory plan or other written agreement executed prior to the completion of this offering may be entitled to sell such shares in the United States in reliance on Rule 701 under the Securities Act, or Rule 701. Rule 701 permits affiliates to sell their Rule 701 shares under Rule 144 without complying with the holding period requirements of Rule 144.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701 further provides that non-affiliates may sell these shares in reliance on Rule 144 subject only to its manner-of-sale requirements. However, the Rule 701 shares would remain subject to any applicable lock-up arrangements and would only become eligible for sale when the lock-up period expires, if 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Regulation 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Regulation S provides generally that sales made in offshore transactions are not subject to the registration or prospectus-delivery requirements of the Securities Act.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Plan of Distribution — 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Agreements</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9" w:name="T6"/>
      <w:bookmarkEnd w:id="19"/>
      <w:r>
        <w:rPr>
          <w:rFonts w:ascii="Times New Roman PS Std;serif" w:hAnsi="Times New Roman PS Std;serif"/>
          <w:b/>
          <w:i w:val="false"/>
          <w:caps w:val="false"/>
          <w:smallCaps w:val="false"/>
          <w:sz w:val="20"/>
        </w:rPr>
        <w:t xml:space="preserve">DESCRIPTION OF SECURITIES WE ARE OFFERING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offering in a best-efforts offering the Units at the assumed public offering price of $[•] per Unit. The initial public offering price per Unit in the Offering will be determined by us based on negotiations with the placement agent on behalf of the prospective investors in the Offering, which will be based on latest market price prior to the pricing of the Offering. The last reported sale price of our Class A Ordinary Shares on The Nasdaq Capital Market on [•] was $[•] per Class A Ordinary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Unit consists of one Class A Ordinary Share and one Warrant. The Units have no stand-alone rights and will not be certificated or issued as stand-alone securities. The Class A Ordinary Shares can be purchased in this offering only with the accompanying Warrants as part of the Units, but the component parts of the Units will be immediately separable and issued separately in this Offering.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Class A 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material terms and provisions of our Class A Ordinary Shares and each other class of our securities which qualifies or limits our Class A Ordinary Shares are described under the caption “</w:t>
      </w:r>
      <w:r>
        <w:rPr>
          <w:rFonts w:ascii="Times New Roman PS Std;serif" w:hAnsi="Times New Roman PS Std;serif"/>
          <w:b w:val="false"/>
          <w:i/>
          <w:caps w:val="false"/>
          <w:smallCaps w:val="false"/>
          <w:sz w:val="20"/>
        </w:rPr>
        <w:t>Description of Share Capital</w:t>
      </w:r>
      <w:r>
        <w:rPr>
          <w:rFonts w:ascii="Times New Roman PS Std;serif" w:hAnsi="Times New Roman PS Std;serif"/>
          <w:b w:val="false"/>
          <w:i w:val="false"/>
          <w:caps w:val="false"/>
          <w:smallCaps w:val="false"/>
          <w:sz w:val="20"/>
        </w:rPr>
        <w:t>” in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offered hereby will be issued in the form filed as an exhibit to the registration statement of which this prospectus is a part and the following summary is not complete and is subject to and qualified in its entirety by those filed exhibits.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Prospective investors should carefully review the form of the Warrant for a complete description of the terms and conditions applicable to the Warrant.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Exercise Price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initial exercise price per Class A Ordinary Share purchasable upon exercise of the Warrant is $[•] per share. The exercise price of the Warrant was determined based on negotiations with the placement agent on behalf of the prospective investors in this offering. The exercise price and number of Class A Ordinary Shares issuable upon exercise are subject to appropriate adjustment in the event of share dividends, share splits, share combinations, reorganizations or similar events affecting our Class A Ordinary Shares. The initial exercise price of $[•] for each of the Warrants was determined at [•]% of the assumed public offering price of $[•] per Unit. The exercise price may be subject to adjustments as described in the Warrant. Such adjustments occur in the following circumstances: (i) if the Company effects any share splits, combinations, reclassifications, or share dividends, the exercise price may be adjusted proportionately; and (ii) in the event of certain corporate transactions such as mergers or reorganizations, the exercise price may be adjusted to reflect the consideration received by holders of Class A Ordinary Shares in the transaction.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Exercisability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Warrant is exercisable at the option of the holder at any time on or after the issuance date until six month of the issuance date.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Warrant will be exercisable, at the option of each holder, in whole or in part, by delivering to us a duly executed exercise notice accompanied by payment in full of the exercise price in immediately available funds for the number of shares of our Class A Ordinary Shares purchased upon such exercise (except in the case of a cashless exercise or zero exercise price option as discussed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holder may not exercise any portion of the Warrant to the extent that the holder (together with its affiliates) would beneficially own more than 4.99% (or, at the election of the holder, 9.99%) of the outstanding Class A Ordinary Shares immediately after exercise. However, upon notice from the holder to us, the holder may decrease or increase the holder’s beneficial ownership limitation, which may not exceed 9.99% of the number of outstanding Class A Ordinary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immediately after giving effect to the exercise, as such percentage ownership is determined in accordance with the terms of the Warrants, provided that any increase in the beneficial ownership limitation will not take effect until 61 days following notice to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Cashless Exercise and Zero Exercise Price Option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and only if at the time of any exercise of the Warrant, there is no effective registration statement registering, or the prospectus contained therein is not available for the issuance of the Class A Ordinary Shares underlying the Warrants to the holder, in lieu of making the cash payment otherwise contemplated to be made to us upon such exercise in payment of the aggregate exercise price, the holder may elect instead to receive upon such exercise (either in whole or in part) the number of shares of Class A Ordinary Shares equal to the quotient obtained by dividing [(A-B) (X)] by (A), where (A) = trading price formulas determined under the Warrants; (B) = the exercise price of the Warrants; and (X) = the number of warrant shares that would be issuable upon exercise of such Warrants by means of a cash exercise rather than a cashless exercise. Subject to customary adjustments for share dividends, splits or other changes in share capital, the maximum number of Class A Ordinary Shares issuable upon cashless exercise of the Warrants is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holder of the Warrants may also effect an exercise at a zero exercise price (the “zero exercise price option”) to receive two (2) Class A Ordinary Shares under each Warrant at any time while the Warrants are outstanding. The aggregate number of Class A Ordinary Shares issuable in such zero exercise price option pursuant is up to 16,000,000.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cash exercise at the initial exercise price of $[•] per Class A Ordinary Share and the cashless exercise based on the same initial exercise price, the zero exercise price option allows exercise of the Warrants for no additional consideration. In addition, the number of Class A Ordinary Shares that investors will receive under the zero exercise price option will be more than such number of Class A Ordinary Shares that is issuable upon cash exercise or cashless exercise. As a result, there is no practical or financial incentive for holders of the Warrants to exercise the Warrants via cash exercise or cashless exercise and we do not expect to receive any proceeds from the exercise of the Warrants overall.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Fundamental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Fundamental Transaction, then the holders of the Warrants will be entitled to receive, upon exercise, the same kind and amount of securities, cash or property which shareholders would have received had they exercised immediately prior to such transaction. The exercise price will be appropriately adjusted to apply to such alternative consideration. If shareholders are given any choice as to the consideration to be received, holders of the Warrant will be given the same choice. We will cause any successor entity in a fundamental transaction in which we are not the survivor to assume our obligations under the Warrants and, at the holder’s option, deliver a security substantially similar to the Warrants that preserves its economic value. Additionally, at the option of holders of the Warrants, exercisable within 30 days after the fundamental transaction (or announcement date, if later), we or any successor entity shall purchase the unexercised portion of the Warrants for cash equal to its Black Scholes value (as provided in the Warrants). However, if such fundamental transaction is not within our control (including not approved by our Board), holders will only be entitled to receive the same type of consideration that is being offered to shareholders, at the Black Scholes value of the unexercised portion of the Warrants.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Transferability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applicable laws, a Warrant may be transferred at the option of the holder upon surrender of the Warrant to us together with the appropriate instruments of transfer.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Trading Market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established public trading market for the Warrants, and we do not intend to list the Warrants on any national securities exchange or trading system. Without a trading market, the liquidity of the Warrants will be limited. The Class A Ordinary Shares issuable upon exercise of the Warrants are currently traded on Nasdaq.</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No Rights as a Shareholder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provided in the Warrants, the Warrant does not entitle its holder to any voting rights, dividends or other rights as a shareholders of the Company prior to the exercise of the Warrant.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Waivers and Adjustments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certain exceptions, any terms of the Warrants may be amended or waived with our written consent and the written consent of the holder.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Warrant Certificate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will be issued in certificated form.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0" w:name="T5"/>
      <w:bookmarkEnd w:id="20"/>
      <w:r>
        <w:rPr>
          <w:rFonts w:ascii="Times New Roman PS Std;serif" w:hAnsi="Times New Roman PS Std;serif"/>
          <w:b/>
          <w:i w:val="false"/>
          <w:caps w:val="false"/>
          <w:smallCaps w:val="false"/>
          <w:sz w:val="20"/>
        </w:rPr>
        <w:t xml:space="preserve">PLAN OF DISTRIBUTION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a placement agency agreement, we engaged Prime Number Capital, LLC (the “placement agent”) to act as our exclusive placement agent on a best-efforts basis in connection with this offering. The placement agent is not purchasing or selling any of the securities offered by this prospectus and is not required to arrange for the purchase or sale of any specific number or dollar amount of securities, other than to use its best efforts to arrange for the sale of such securities by us. The terms of this offering are subject to market conditions and negotiations between us, the placement agent, and prospective investors. The placement agency agreement does not give rise to any commitment by the placement agent to purchase any of our securities, and the placement agent will have no authority to bind us by virtue of the placement agency agreement. Further, the placement agent does not guarantee that it will be able to raise new capital in any prospective offering. The placement agent may engage sub-agents or selected dealers to assist with this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enter into a securities purchase agreement (“Securities Purchase Agreement”) directly with each investor in connection with this offering, and we may not sell the entire amount, or any amount, of securities offered pursuant to this prospectus. The form of securities purchase agreement will be included as an exhibit to the registration statement of which this prospectus is a part, as applicable.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deliver the Class A Ordinary Shares and Warrants included in the Units to the investors upon closing and receipt of investor funds for the purchase of the securities offered pursuant to this prospectus. There is no arrangement for funds to be received in escrow, trust or similar arrangement. We intend to complete one closing of this offering. The offering will terminate upon the completion of a single closing.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Fees and Expenses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pay the placement agent a cash fee equal to five percent (5.0%) of the aggregate gross proceeds raised in this offering, together with a non-accountable expense allowance equal to one percent (1.0%) of the gross proceeds received by the Company from this offering. We have also agreed to reimburse the placement agent for its legal fees and other out-of-pocket fees, costs and expenses incurred in connection with this offering, up to US$100,000.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total expenses payable by us in connection with this offering will be approximately US$[•], which includes the placement agent’s cash fee, the non-accountable expense allowance, the reimbursement of the placement agent’s offering-related expenses, and other estimated offering expenses, including legal, accounting, printing and registration-related fees and expenses.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 of First Refusal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period of six (6) months following the closing date of this offering, the placement agent shall have an irrevocable right of first refusal to act as lead book-running manager, lead placement agent or lead financial advisor, as applicable, with respect to at least eighty percent (80%) of the economics for any public or private offering of equity, equity-linked or debt securities, or any other financing or capital-raising transaction by the Company or any of its subsidiaries, subject to compliance with FINRA Rule 5110(g)(5)(B).</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Tail Financing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within six (6) months after the termination or expiration of the placement agent’s engagement, the Company consummates any public or private offering of securities or other financing or capital-raising transaction with any investor that was introduced to the Company by the placement agent or “wall-crossed” by the placement agent during the term of the engagement, the placement agent will be entitled to receive the applicable placement agent fee with respect to the gross proceeds received by the Company from such investor in such transaction, subject to compliance with FINRA Rule 5110(g)(5)(B).</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this offering, each of Company’s officers, directors and holders of five percent (5%) or more of the Company’s share capital shall deliver to the placement agent an executed lock-up agreement in a form mutually agreed upon by the Company and the placement agent. Pursuant to such lock-up agreements, such parties will agree, subject to customary exceptions, not to offer, sell, contract to sell, pledge, grant any option to purchase, make any short sale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or otherwise transfer or dispose of, directly or indirectly, any Class A Ordinary Shares or any securities convertible into, exercisable for, or exchangeable for Class A Ordinary Shares, for a period of 180 days following the closing date of this offering.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Issuance and Financing Standstill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agreed that, for a period of four (4) months following the closing date of this offering, it will not, without the prior written consent of the placement agent, directly or indirectly issue, offer, sell, contract to sell, grant any option to purchase, or otherwise dispose of any Class A Ordinary Shares or any securities convertible into, exercisable for, or exchangeable for Class A Ordinary Shares, other than securities issued pursuant to a registration statement on Form S-8.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also agreed that, during the same four (4)-month period, it will not enter into or consummate any financing or capital-raising transaction, including any equity line of credit, equity financing, convertible bond, convertible note, other equity-linked financing, or variable rate transaction, without the prior written consent of the placement agent.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Class A Ordinary Shares are listed on The Nasdaq Capital Market under the symbol “NCT.” There is no established public trading market for the Warrants, and we do not intend to list the Warrants on The Nasdaq Capital Market or any other securities exchange or trading market. Without an active trading market, the liquidity of the Warrants will be limited. We are also registering the Class A Ordinary Shares issuable upon exercise of the Warrants and anticipate that such Class A Ordinary Shares will trade on The Nasdaq Capital Market.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Regulation 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placement agent may be deemed to be an underwriter within the meaning of Section 2(a)(11) of the Securities Act, and any fees received by the placement agent might be deemed to be underwriting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the securities by the placement agent. Under these rules and regulations, the placement agent may not (i) engage in any stabilization activity in connection with our securities; or (ii) bid for or purchase any of our securities or attempt to induce any person to purchase any of our securities, other than as permitted under the Exchange Act, until it has completed its participation in the distribution.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Relationships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placement agent may provide various advisory, investment banking and other services to us in the ordinary course of business, for which it may receive customary fees and commissions. However, except as disclosed in this prospectus, we have no present arrangements with the placement agent for any services.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indemnify the placement agent against certain liabilities, including liabilities under the Securities Act. If we are unable to provide this indemnification, we will contribute to payments that the placement agent may be required to make for these liabilities.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Restrictions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action may be taken in any jurisdiction other than the United States that would permit a public offering of the securities or the possession, circulation or distribution of this prospectus in any jurisdiction where action for that purpose is required. The Class A Ordinary Shares and Warrants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solicitation is unlawful.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the 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does not constitute a public offer of the Class A Ordinary Shares or Warrants, whether by way of sale or subscription, in the Cayman Islands. The Class A Ordinary Shares and Warrants have not been offered or sold, and will not be offered or sold, directly or indirectly, in the Cayman Islands.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contents of this prospectus have not been reviewed by any regulatory authority in Hong Kong. You are advised to exercise caution in relation to the offer. If you are in any doubt about any of the contents of this prospectus, you should obtain independent professional advice. Please note that (i) our securities may not be offered or sold in Hong Kong, by means of this prospectus or any document other than to “professional investors” within the meaning of Part I of Schedule 1 of the Securities and Futures Ordinance (Cap. 571, Laws of Hong Kong) (the “SFO”) and any rules made thereunder, or in other circumstances which do not result in the document being a “prospectus” within the meaning of the Companies (Winding Up and Miscellaneous Provisions) Ordinance (Cap. 32, Laws of Hong Kong) (the “CO”) or which do not constitute an offer or invitation to the public for the purpose of the CO or the SFO, and (ii) no advertisement, invitation or document relating to our securities may be issued or may be in the possession of any person for the purpose of issue, whether in Hong Kong or elsewhere, which is directed at, or the contents of which are likely to be accessed or read by, the public in Hong Kong, except if permitted to do so under the securities laws of Hong Kong, other than with respect to securities which are or are intended to be disposed of only to persons outside Hong Kong or only to “professional investors” within the meaning of the SFO and any rules made thereunder.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the People’s Republic of China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may not be circulated or distributed in the PRC, and the securities may not be offered or sold, and will not be offered or sold,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to Prospective Investors in Taiwan, the Republic of China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securities have not been and will not be registered with the Financial Supervisory Commission of Taiwan, the Republic of China,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4"/>
      <w:bookmarkEnd w:id="21"/>
      <w:r>
        <w:rPr>
          <w:rFonts w:ascii="Times New Roman PS Std;serif" w:hAnsi="Times New Roman PS Std;serif"/>
          <w:b/>
          <w:i w:val="false"/>
          <w:caps w:val="false"/>
          <w:smallCaps w:val="false"/>
          <w:sz w:val="20"/>
        </w:rPr>
        <w:t xml:space="preserve">EXPENSES RELATED TO THIS OFFERING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an itemization of the total expenses, excluding placement agent’s fees, expected to be incurred in connection with the offer and sale of our securities. Except for the SEC registration fee and the Financial Industry Regulatory Authority Inc. filing fee, all amounts are estimates.</w:t>
      </w:r>
    </w:p>
    <w:tbl>
      <w:tblPr>
        <w:tblW w:w="4314" w:type="dxa"/>
        <w:jc w:val="left"/>
        <w:tblInd w:w="0" w:type="dxa"/>
        <w:tblLayout w:type="fixed"/>
        <w:tblCellMar>
          <w:top w:w="0" w:type="dxa"/>
          <w:left w:w="0" w:type="dxa"/>
          <w:bottom w:w="0" w:type="dxa"/>
          <w:right w:w="0" w:type="dxa"/>
        </w:tblCellMar>
      </w:tblPr>
      <w:tblGrid>
        <w:gridCol w:w="3316"/>
        <w:gridCol w:w="146"/>
        <w:gridCol w:w="601"/>
        <w:gridCol w:w="251"/>
      </w:tblGrid>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 registration fee</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251" w:type="dxa"/>
            <w:tcBorders/>
            <w:shd w:fill="CCEEFF" w:val="clear"/>
            <w:vAlign w:val="bottom"/>
          </w:tcPr>
          <w:p>
            <w:pPr>
              <w:pStyle w:val="TableContents"/>
              <w:bidi w:val="0"/>
              <w:spacing w:before="0" w:after="283"/>
              <w:jc w:val="left"/>
              <w:rPr/>
            </w:pPr>
            <w:r>
              <w:rPr/>
              <w:t> </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FINRA filing fee</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251" w:type="dxa"/>
            <w:tcBorders/>
            <w:vAlign w:val="bottom"/>
          </w:tcPr>
          <w:p>
            <w:pPr>
              <w:pStyle w:val="TableContents"/>
              <w:bidi w:val="0"/>
              <w:spacing w:before="0" w:after="283"/>
              <w:jc w:val="left"/>
              <w:rPr/>
            </w:pPr>
            <w:r>
              <w:rPr/>
              <w:t> </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Printing and engraving expenses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251" w:type="dxa"/>
            <w:tcBorders/>
            <w:shd w:fill="CCEEFF" w:val="clear"/>
            <w:vAlign w:val="bottom"/>
          </w:tcPr>
          <w:p>
            <w:pPr>
              <w:pStyle w:val="TableContents"/>
              <w:bidi w:val="0"/>
              <w:spacing w:before="0" w:after="283"/>
              <w:jc w:val="left"/>
              <w:rPr/>
            </w:pPr>
            <w:r>
              <w:rPr/>
              <w:t> </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fees and expenses</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251" w:type="dxa"/>
            <w:tcBorders/>
            <w:vAlign w:val="bottom"/>
          </w:tcPr>
          <w:p>
            <w:pPr>
              <w:pStyle w:val="TableContents"/>
              <w:bidi w:val="0"/>
              <w:spacing w:before="0" w:after="283"/>
              <w:jc w:val="left"/>
              <w:rPr/>
            </w:pPr>
            <w:r>
              <w:rPr/>
              <w:t> </w:t>
            </w:r>
          </w:p>
        </w:tc>
      </w:tr>
      <w:tr>
        <w:trPr/>
        <w:tc>
          <w:tcPr>
            <w:tcW w:w="33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Miscellaneous</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3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6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w:t>
            </w:r>
          </w:p>
        </w:tc>
        <w:tc>
          <w:tcPr>
            <w:tcW w:w="2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bear these expenses incurred in connection with the offer and sale of the securities.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2" w:name="T3"/>
      <w:bookmarkEnd w:id="22"/>
      <w:r>
        <w:rPr>
          <w:rFonts w:ascii="Times New Roman PS Std;serif" w:hAnsi="Times New Roman PS Std;serif"/>
          <w:b/>
          <w:i w:val="false"/>
          <w:caps w:val="false"/>
          <w:smallCaps w:val="false"/>
          <w:sz w:val="20"/>
        </w:rPr>
        <w:t xml:space="preserve">LEGAL MATTERS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being represented by Jun He Law Offices LLC with respect to certain legal matters as to United States federal securities and New York State law. The validity of the Class A Ordinary Shares offered in this offering and certain legal matters as to Cayman Islands law will be passed upon for us by WY Legal LLP. Certain legal matters as to Hong Kong law will be passed upon for us by Lawrence Chan &amp; Co. Jun He Law Offices LLC may rely upon WY Legal LLP with respect to matters governed by Cayman Islands law, and may rely upon Lawrence Chan &amp; Co. with respect to matters governed by Hong Kong law. Ye &amp; Associates, P.C. is acting as counsel to the placement agent with respect to certain legal matters as to United States federal securities law in connection with this offering.</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2"/>
      <w:bookmarkEnd w:id="23"/>
      <w:r>
        <w:rPr>
          <w:rFonts w:ascii="Times New Roman PS Std;serif" w:hAnsi="Times New Roman PS Std;serif"/>
          <w:b/>
          <w:i w:val="false"/>
          <w:caps w:val="false"/>
          <w:smallCaps w:val="false"/>
          <w:sz w:val="20"/>
        </w:rPr>
        <w:t xml:space="preserve">EXPERTS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as of June 30, 2025 and 2024, and for each of the three years in the period ended June 30, 2025, 2024 and 2023 included in this prospectus have been audited by UHY LLP, an independent registered public accounting firm, as stated in their report appearing herein. Such financial statements have been so included in reliance upon the report of such firm given upon the authority of such firm as experts in accounting and auditing. The office of UHY LLP is located at 1185 Avenue of the Americas, 38th Floor, New York, NY 10036.</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1"/>
      <w:bookmarkEnd w:id="24"/>
      <w:r>
        <w:rPr>
          <w:rFonts w:ascii="Times New Roman PS Std;serif" w:hAnsi="Times New Roman PS Std;serif"/>
          <w:b/>
          <w:i w:val="false"/>
          <w:caps w:val="false"/>
          <w:smallCaps w:val="false"/>
          <w:sz w:val="20"/>
        </w:rPr>
        <w:t xml:space="preserve">WHERE YOU CAN FIND ADDITIONAL INFORMATION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F-1, including relevant exhibits and schedules under the Securities Act, covering the Class A Ordinary Shares offered by this prospectus. You should refer to our registration statements and their exhibits and schedules if you would like to find out more about us and about the Class A Ordinary Shares. This prospectus summarizes material provisions of contracts and other documents that we refer you to. Since the prospectus may not contain all the information that you may find important, you should review the full text of these documents.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As a foreign private issuer, we are exempt from the rules of the Exchange Act prescribing the furnishing and content of proxy statements to shareholders under the federal proxy rules contained in Sections 14(a), (b) and (c) of the Exchange Act, and our executive officers, directors and principal shareholders are exempt from the reporting and short-swing profit recovery provisions contained in Section 16 of the Exchange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registration statements, reports and other information so filed can be inspected and copied at the public reference facilities maintained by the SEC at 100 F Street, N.E., Washington, D.C. 20549. You can request copies of these documents upon payment of a duplicating fee, by writing to the SEC. Please call the SEC at 1-800-SEC-0330 for further information on the operation of the public reference rooms. The SEC also maintains a website that contains reports, proxy statements and other information about issuers, such as us, who file electronically with the SEC. The address of that website is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 The information on that website is not a part of this prospectus.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dealers, salesperson or other person is authorized to give any information or to represent anything not contained in this prospectus. You must not rely on any unauthorized information or representations. This prospectus is an offer to sell only the securities offered hereby, but only under circumstances and in jurisdictions where it is lawful to do so. The information contained in this prospectus is current only as of its date.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2018"/>
      <w:bookmarkEnd w:id="25"/>
      <w:r>
        <w:rPr>
          <w:rFonts w:ascii="Times New Roman PS Std;serif" w:hAnsi="Times New Roman PS Std;serif"/>
          <w:b/>
          <w:i w:val="false"/>
          <w:caps w:val="false"/>
          <w:smallCaps w:val="false"/>
          <w:sz w:val="20"/>
        </w:rPr>
        <w:t>INDEX TO COMBINED AND CONSOLIDATED FINANCIAL STATEMENTS</w:t>
        <w:br/>
        <w:t xml:space="preserve">INTERCONT (CAYMAN) LIMITED </w:t>
      </w:r>
    </w:p>
    <w:tbl>
      <w:tblPr>
        <w:tblW w:w="10205" w:type="dxa"/>
        <w:jc w:val="left"/>
        <w:tblInd w:w="0" w:type="dxa"/>
        <w:tblLayout w:type="fixed"/>
        <w:tblCellMar>
          <w:top w:w="0" w:type="dxa"/>
          <w:left w:w="0" w:type="dxa"/>
          <w:bottom w:w="0" w:type="dxa"/>
          <w:right w:w="0" w:type="dxa"/>
        </w:tblCellMar>
      </w:tblPr>
      <w:tblGrid>
        <w:gridCol w:w="9111"/>
        <w:gridCol w:w="146"/>
        <w:gridCol w:w="948"/>
      </w:tblGrid>
      <w:tr>
        <w:trPr/>
        <w:tc>
          <w:tcPr>
            <w:tcW w:w="91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94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111" w:type="dxa"/>
            <w:tcBorders/>
            <w:shd w:fill="CCEEFF" w:val="clear"/>
            <w:vAlign w:val="bottom"/>
          </w:tcPr>
          <w:p>
            <w:pPr>
              <w:pStyle w:val="TableContents"/>
              <w:keepNext w:val="false"/>
              <w:widowControl/>
              <w:pBdr/>
              <w:bidi w:val="0"/>
              <w:spacing w:before="0" w:after="283"/>
              <w:ind w:left="200" w:right="0" w:hanging="200"/>
              <w:jc w:val="left"/>
              <w:rPr/>
            </w:pPr>
            <w:hyperlink w:anchor="T301">
              <w:r>
                <w:rPr>
                  <w:rStyle w:val="InternetLink"/>
                  <w:rFonts w:ascii="Times New Roman PS Std;serif" w:hAnsi="Times New Roman PS Std;serif"/>
                  <w:b w:val="false"/>
                  <w:i w:val="false"/>
                  <w:caps w:val="false"/>
                  <w:smallCaps w:val="false"/>
                  <w:sz w:val="20"/>
                </w:rPr>
                <w:t xml:space="preserve">Unaudited Condensed Consolidated Balance Sheets as of December 31, 2025 and June 30, 2025 </w:t>
              </w:r>
            </w:hyperlink>
          </w:p>
        </w:tc>
        <w:tc>
          <w:tcPr>
            <w:tcW w:w="146"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111" w:type="dxa"/>
            <w:tcBorders/>
            <w:vAlign w:val="bottom"/>
          </w:tcPr>
          <w:p>
            <w:pPr>
              <w:pStyle w:val="TableContents"/>
              <w:keepNext w:val="false"/>
              <w:widowControl/>
              <w:pBdr/>
              <w:bidi w:val="0"/>
              <w:spacing w:before="0" w:after="283"/>
              <w:ind w:left="200" w:right="0" w:hanging="200"/>
              <w:jc w:val="left"/>
              <w:rPr/>
            </w:pPr>
            <w:hyperlink w:anchor="T302">
              <w:r>
                <w:rPr>
                  <w:rStyle w:val="InternetLink"/>
                  <w:rFonts w:ascii="Times New Roman PS Std;serif" w:hAnsi="Times New Roman PS Std;serif"/>
                  <w:b w:val="false"/>
                  <w:i w:val="false"/>
                  <w:caps w:val="false"/>
                  <w:smallCaps w:val="false"/>
                  <w:sz w:val="20"/>
                </w:rPr>
                <w:t xml:space="preserve">Unaudited Condensed Consolidated Statements of Income for the Six Months Ended December 31, 2025 and 2024 </w:t>
              </w:r>
            </w:hyperlink>
          </w:p>
        </w:tc>
        <w:tc>
          <w:tcPr>
            <w:tcW w:w="146" w:type="dxa"/>
            <w:tcBorders/>
            <w:vAlign w:val="bottom"/>
          </w:tcPr>
          <w:p>
            <w:pPr>
              <w:pStyle w:val="TableContents"/>
              <w:bidi w:val="0"/>
              <w:spacing w:before="0" w:after="283"/>
              <w:jc w:val="left"/>
              <w:rPr/>
            </w:pPr>
            <w:r>
              <w:rPr/>
              <w:t> </w:t>
            </w:r>
          </w:p>
        </w:tc>
        <w:tc>
          <w:tcPr>
            <w:tcW w:w="94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111" w:type="dxa"/>
            <w:tcBorders/>
            <w:shd w:fill="CCEEFF" w:val="clear"/>
            <w:vAlign w:val="bottom"/>
          </w:tcPr>
          <w:p>
            <w:pPr>
              <w:pStyle w:val="TableContents"/>
              <w:keepNext w:val="false"/>
              <w:widowControl/>
              <w:pBdr/>
              <w:bidi w:val="0"/>
              <w:spacing w:before="0" w:after="283"/>
              <w:ind w:left="200" w:right="0" w:hanging="200"/>
              <w:jc w:val="left"/>
              <w:rPr/>
            </w:pPr>
            <w:hyperlink w:anchor="T303">
              <w:r>
                <w:rPr>
                  <w:rStyle w:val="InternetLink"/>
                  <w:rFonts w:ascii="Times New Roman PS Std;serif" w:hAnsi="Times New Roman PS Std;serif"/>
                  <w:b w:val="false"/>
                  <w:i w:val="false"/>
                  <w:caps w:val="false"/>
                  <w:smallCaps w:val="false"/>
                  <w:sz w:val="20"/>
                </w:rPr>
                <w:t xml:space="preserve">Unaudited Condensed Consolidated Statements of Changes in Shareholders’ Equity for the Six Months Ended December 31, 2025 and 2024 </w:t>
              </w:r>
            </w:hyperlink>
          </w:p>
        </w:tc>
        <w:tc>
          <w:tcPr>
            <w:tcW w:w="146"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111" w:type="dxa"/>
            <w:tcBorders/>
            <w:vAlign w:val="bottom"/>
          </w:tcPr>
          <w:p>
            <w:pPr>
              <w:pStyle w:val="TableContents"/>
              <w:keepNext w:val="false"/>
              <w:widowControl/>
              <w:pBdr/>
              <w:bidi w:val="0"/>
              <w:spacing w:before="0" w:after="283"/>
              <w:ind w:left="200" w:right="0" w:hanging="200"/>
              <w:jc w:val="left"/>
              <w:rPr/>
            </w:pPr>
            <w:hyperlink w:anchor="T304">
              <w:r>
                <w:rPr>
                  <w:rStyle w:val="InternetLink"/>
                  <w:rFonts w:ascii="Times New Roman PS Std;serif" w:hAnsi="Times New Roman PS Std;serif"/>
                  <w:b w:val="false"/>
                  <w:i w:val="false"/>
                  <w:caps w:val="false"/>
                  <w:smallCaps w:val="false"/>
                  <w:sz w:val="20"/>
                </w:rPr>
                <w:t xml:space="preserve">Unaudited Condensed Consolidated Statements of Cash Flows for the Six Months Ended December 31, 2025 and 2024 </w:t>
              </w:r>
            </w:hyperlink>
          </w:p>
        </w:tc>
        <w:tc>
          <w:tcPr>
            <w:tcW w:w="146" w:type="dxa"/>
            <w:tcBorders/>
            <w:vAlign w:val="bottom"/>
          </w:tcPr>
          <w:p>
            <w:pPr>
              <w:pStyle w:val="TableContents"/>
              <w:bidi w:val="0"/>
              <w:spacing w:before="0" w:after="283"/>
              <w:jc w:val="left"/>
              <w:rPr/>
            </w:pPr>
            <w:r>
              <w:rPr/>
              <w:t> </w:t>
            </w:r>
          </w:p>
        </w:tc>
        <w:tc>
          <w:tcPr>
            <w:tcW w:w="948"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111" w:type="dxa"/>
            <w:tcBorders/>
            <w:shd w:fill="CCEEFF" w:val="clear"/>
            <w:vAlign w:val="bottom"/>
          </w:tcPr>
          <w:p>
            <w:pPr>
              <w:pStyle w:val="TableContents"/>
              <w:keepNext w:val="false"/>
              <w:widowControl/>
              <w:pBdr/>
              <w:bidi w:val="0"/>
              <w:spacing w:before="0" w:after="283"/>
              <w:ind w:left="200" w:right="0" w:hanging="200"/>
              <w:jc w:val="left"/>
              <w:rPr/>
            </w:pPr>
            <w:hyperlink w:anchor="T305">
              <w:r>
                <w:rPr>
                  <w:rStyle w:val="InternetLink"/>
                  <w:rFonts w:ascii="Times New Roman PS Std;serif" w:hAnsi="Times New Roman PS Std;serif"/>
                  <w:b w:val="false"/>
                  <w:i w:val="false"/>
                  <w:caps w:val="false"/>
                  <w:smallCaps w:val="false"/>
                  <w:sz w:val="20"/>
                </w:rPr>
                <w:t xml:space="preserve">Notes to Unaudited Condensed Consolidated Financial Statements </w:t>
              </w:r>
            </w:hyperlink>
          </w:p>
        </w:tc>
        <w:tc>
          <w:tcPr>
            <w:tcW w:w="146"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 – F-28</w:t>
            </w:r>
          </w:p>
        </w:tc>
      </w:tr>
    </w:tbl>
    <w:tbl>
      <w:tblPr>
        <w:tblW w:w="10205" w:type="dxa"/>
        <w:jc w:val="left"/>
        <w:tblInd w:w="0" w:type="dxa"/>
        <w:tblLayout w:type="fixed"/>
        <w:tblCellMar>
          <w:top w:w="0" w:type="dxa"/>
          <w:left w:w="0" w:type="dxa"/>
          <w:bottom w:w="0" w:type="dxa"/>
          <w:right w:w="0" w:type="dxa"/>
        </w:tblCellMar>
      </w:tblPr>
      <w:tblGrid>
        <w:gridCol w:w="8998"/>
        <w:gridCol w:w="146"/>
        <w:gridCol w:w="1061"/>
      </w:tblGrid>
      <w:tr>
        <w:trPr/>
        <w:tc>
          <w:tcPr>
            <w:tcW w:w="899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9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Combined and Consolidated Financial Statements as of and for the years ended June 30, 2025, 2024 and 2023</w:t>
            </w:r>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left"/>
              <w:rPr/>
            </w:pPr>
            <w:r>
              <w:rPr/>
              <w:t> </w:t>
            </w:r>
          </w:p>
        </w:tc>
      </w:tr>
      <w:tr>
        <w:trPr/>
        <w:tc>
          <w:tcPr>
            <w:tcW w:w="8998" w:type="dxa"/>
            <w:tcBorders/>
            <w:vAlign w:val="bottom"/>
          </w:tcPr>
          <w:p>
            <w:pPr>
              <w:pStyle w:val="TableContents"/>
              <w:keepNext w:val="false"/>
              <w:widowControl/>
              <w:pBdr/>
              <w:bidi w:val="0"/>
              <w:spacing w:before="0" w:after="283"/>
              <w:ind w:left="200" w:right="0" w:hanging="200"/>
              <w:jc w:val="left"/>
              <w:rPr/>
            </w:pPr>
            <w:hyperlink w:anchor="T306">
              <w:r>
                <w:rPr>
                  <w:rStyle w:val="InternetLink"/>
                  <w:rFonts w:ascii="Times New Roman PS Std;serif" w:hAnsi="Times New Roman PS Std;serif"/>
                  <w:b w:val="false"/>
                  <w:i w:val="false"/>
                  <w:caps w:val="false"/>
                  <w:smallCaps w:val="false"/>
                  <w:sz w:val="20"/>
                </w:rPr>
                <w:t xml:space="preserve">Report of Independent Registered Public Accounting Firm (PCAOB ID: 1195) </w:t>
              </w:r>
            </w:hyperlink>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F-29</w:t>
            </w:r>
          </w:p>
        </w:tc>
      </w:tr>
      <w:tr>
        <w:trPr/>
        <w:tc>
          <w:tcPr>
            <w:tcW w:w="8998" w:type="dxa"/>
            <w:tcBorders/>
            <w:shd w:fill="CCEEFF" w:val="clear"/>
            <w:vAlign w:val="bottom"/>
          </w:tcPr>
          <w:p>
            <w:pPr>
              <w:pStyle w:val="TableContents"/>
              <w:keepNext w:val="false"/>
              <w:widowControl/>
              <w:pBdr/>
              <w:bidi w:val="0"/>
              <w:spacing w:before="0" w:after="283"/>
              <w:ind w:left="200" w:right="0" w:hanging="200"/>
              <w:jc w:val="left"/>
              <w:rPr/>
            </w:pPr>
            <w:hyperlink w:anchor="T307">
              <w:r>
                <w:rPr>
                  <w:rStyle w:val="InternetLink"/>
                  <w:rFonts w:ascii="Times New Roman PS Std;serif" w:hAnsi="Times New Roman PS Std;serif"/>
                  <w:b w:val="false"/>
                  <w:i w:val="false"/>
                  <w:caps w:val="false"/>
                  <w:smallCaps w:val="false"/>
                  <w:sz w:val="20"/>
                </w:rPr>
                <w:t xml:space="preserve">Combined and Consolidated Balance Sheets as of June 30, 2025 and 2024 </w:t>
              </w:r>
            </w:hyperlink>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F-30</w:t>
            </w:r>
          </w:p>
        </w:tc>
      </w:tr>
      <w:tr>
        <w:trPr/>
        <w:tc>
          <w:tcPr>
            <w:tcW w:w="8998" w:type="dxa"/>
            <w:tcBorders/>
            <w:vAlign w:val="bottom"/>
          </w:tcPr>
          <w:p>
            <w:pPr>
              <w:pStyle w:val="TableContents"/>
              <w:keepNext w:val="false"/>
              <w:widowControl/>
              <w:pBdr/>
              <w:bidi w:val="0"/>
              <w:spacing w:before="0" w:after="283"/>
              <w:ind w:left="200" w:right="0" w:hanging="200"/>
              <w:jc w:val="left"/>
              <w:rPr/>
            </w:pPr>
            <w:hyperlink w:anchor="T308">
              <w:r>
                <w:rPr>
                  <w:rStyle w:val="InternetLink"/>
                  <w:rFonts w:ascii="Times New Roman PS Std;serif" w:hAnsi="Times New Roman PS Std;serif"/>
                  <w:b w:val="false"/>
                  <w:i w:val="false"/>
                  <w:caps w:val="false"/>
                  <w:smallCaps w:val="false"/>
                  <w:sz w:val="20"/>
                </w:rPr>
                <w:t xml:space="preserve">Combined and Consolidated Statements of Income for the Years Ended June 30, 2025, 2024 </w:t>
                <w:br/>
                <w:t xml:space="preserve">and 2023 </w:t>
              </w:r>
            </w:hyperlink>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F-31</w:t>
            </w:r>
          </w:p>
        </w:tc>
      </w:tr>
      <w:tr>
        <w:trPr/>
        <w:tc>
          <w:tcPr>
            <w:tcW w:w="8998" w:type="dxa"/>
            <w:tcBorders/>
            <w:shd w:fill="CCEEFF" w:val="clear"/>
            <w:vAlign w:val="bottom"/>
          </w:tcPr>
          <w:p>
            <w:pPr>
              <w:pStyle w:val="TableContents"/>
              <w:keepNext w:val="false"/>
              <w:widowControl/>
              <w:pBdr/>
              <w:bidi w:val="0"/>
              <w:spacing w:before="0" w:after="283"/>
              <w:ind w:left="200" w:right="0" w:hanging="200"/>
              <w:jc w:val="left"/>
              <w:rPr/>
            </w:pPr>
            <w:hyperlink w:anchor="T309">
              <w:r>
                <w:rPr>
                  <w:rStyle w:val="InternetLink"/>
                  <w:rFonts w:ascii="Times New Roman PS Std;serif" w:hAnsi="Times New Roman PS Std;serif"/>
                  <w:b w:val="false"/>
                  <w:i w:val="false"/>
                  <w:caps w:val="false"/>
                  <w:smallCaps w:val="false"/>
                  <w:sz w:val="20"/>
                </w:rPr>
                <w:t xml:space="preserve">Combined and Consolidated Statements of Changes in Shareholders’ Equity for the Years Ended June 30, 2025, 2024 and 2023 </w:t>
              </w:r>
            </w:hyperlink>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F-32</w:t>
            </w:r>
          </w:p>
        </w:tc>
      </w:tr>
      <w:tr>
        <w:trPr/>
        <w:tc>
          <w:tcPr>
            <w:tcW w:w="8998" w:type="dxa"/>
            <w:tcBorders/>
            <w:vAlign w:val="bottom"/>
          </w:tcPr>
          <w:p>
            <w:pPr>
              <w:pStyle w:val="TableContents"/>
              <w:keepNext w:val="false"/>
              <w:widowControl/>
              <w:pBdr/>
              <w:bidi w:val="0"/>
              <w:spacing w:before="0" w:after="283"/>
              <w:ind w:left="200" w:right="0" w:hanging="200"/>
              <w:jc w:val="left"/>
              <w:rPr/>
            </w:pPr>
            <w:hyperlink w:anchor="T310">
              <w:r>
                <w:rPr>
                  <w:rStyle w:val="InternetLink"/>
                  <w:rFonts w:ascii="Times New Roman PS Std;serif" w:hAnsi="Times New Roman PS Std;serif"/>
                  <w:b w:val="false"/>
                  <w:i w:val="false"/>
                  <w:caps w:val="false"/>
                  <w:smallCaps w:val="false"/>
                  <w:sz w:val="20"/>
                </w:rPr>
                <w:t xml:space="preserve">Combined and Consolidated Statements of Cash Flows for the Years Ended June 30, 2025, 2024 and 2023 </w:t>
              </w:r>
            </w:hyperlink>
          </w:p>
        </w:tc>
        <w:tc>
          <w:tcPr>
            <w:tcW w:w="146" w:type="dxa"/>
            <w:tcBorders/>
            <w:vAlign w:val="bottom"/>
          </w:tcPr>
          <w:p>
            <w:pPr>
              <w:pStyle w:val="TableContents"/>
              <w:bidi w:val="0"/>
              <w:spacing w:before="0" w:after="283"/>
              <w:jc w:val="left"/>
              <w:rPr/>
            </w:pPr>
            <w:r>
              <w:rPr/>
              <w:t> </w:t>
            </w:r>
          </w:p>
        </w:tc>
        <w:tc>
          <w:tcPr>
            <w:tcW w:w="106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F-33</w:t>
            </w:r>
          </w:p>
        </w:tc>
      </w:tr>
      <w:tr>
        <w:trPr/>
        <w:tc>
          <w:tcPr>
            <w:tcW w:w="8998" w:type="dxa"/>
            <w:tcBorders/>
            <w:shd w:fill="CCEEFF" w:val="clear"/>
            <w:vAlign w:val="bottom"/>
          </w:tcPr>
          <w:p>
            <w:pPr>
              <w:pStyle w:val="TableContents"/>
              <w:keepNext w:val="false"/>
              <w:widowControl/>
              <w:pBdr/>
              <w:bidi w:val="0"/>
              <w:spacing w:before="0" w:after="283"/>
              <w:ind w:left="200" w:right="0" w:hanging="200"/>
              <w:jc w:val="left"/>
              <w:rPr/>
            </w:pPr>
            <w:hyperlink w:anchor="T311">
              <w:r>
                <w:rPr>
                  <w:rStyle w:val="InternetLink"/>
                  <w:rFonts w:ascii="Times New Roman PS Std;serif" w:hAnsi="Times New Roman PS Std;serif"/>
                  <w:b w:val="false"/>
                  <w:i w:val="false"/>
                  <w:caps w:val="false"/>
                  <w:smallCaps w:val="false"/>
                  <w:sz w:val="20"/>
                </w:rPr>
                <w:t xml:space="preserve">Notes to Combined and Consolidated Financial Statements </w:t>
              </w:r>
            </w:hyperlink>
          </w:p>
        </w:tc>
        <w:tc>
          <w:tcPr>
            <w:tcW w:w="146"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F-35 – F-56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301"/>
      <w:bookmarkEnd w:id="26"/>
      <w:r>
        <w:rPr>
          <w:rFonts w:ascii="Times New Roman PS Std;serif" w:hAnsi="Times New Roman PS Std;serif"/>
          <w:b/>
          <w:i w:val="false"/>
          <w:caps w:val="false"/>
          <w:smallCaps w:val="false"/>
          <w:sz w:val="20"/>
        </w:rPr>
        <w:t>INTERCONT (CAYMAN) LIMITED</w:t>
        <w:br/>
        <w:t>UNAUDITED CONDENSED CONSOLIDATED BALANCE SHEETS</w:t>
        <w:br/>
        <w:t xml:space="preserve">(Expressed in U.S. Dollars — except for share data) </w:t>
      </w:r>
    </w:p>
    <w:tbl>
      <w:tblPr>
        <w:tblW w:w="10205" w:type="dxa"/>
        <w:jc w:val="left"/>
        <w:tblInd w:w="0" w:type="dxa"/>
        <w:tblLayout w:type="fixed"/>
        <w:tblCellMar>
          <w:top w:w="0" w:type="dxa"/>
          <w:left w:w="0" w:type="dxa"/>
          <w:bottom w:w="0" w:type="dxa"/>
          <w:right w:w="0" w:type="dxa"/>
        </w:tblCellMar>
      </w:tblPr>
      <w:tblGrid>
        <w:gridCol w:w="6474"/>
        <w:gridCol w:w="146"/>
        <w:gridCol w:w="301"/>
        <w:gridCol w:w="1396"/>
        <w:gridCol w:w="146"/>
        <w:gridCol w:w="301"/>
        <w:gridCol w:w="1441"/>
      </w:tblGrid>
      <w:tr>
        <w:trPr/>
        <w:tc>
          <w:tcPr>
            <w:tcW w:w="647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64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(Audited)</w:t>
            </w:r>
          </w:p>
        </w:tc>
      </w:tr>
      <w:tr>
        <w:trPr/>
        <w:tc>
          <w:tcPr>
            <w:tcW w:w="64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64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4,042,661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5,648,749</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288,319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287,193</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1,018,315</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7,900,779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788,351</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from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412,873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331,948</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investment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10,300,869</w:t>
            </w:r>
          </w:p>
        </w:tc>
      </w:tr>
      <w:tr>
        <w:trPr/>
        <w:tc>
          <w:tcPr>
            <w:tcW w:w="64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12,649,632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18,375,425</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47,871,907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49,722,428</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47,882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6,506</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dry dock cost,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1,107,701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682,637</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asset-operating lease,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1,560,385</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non-current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1,535,959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r>
      <w:tr>
        <w:trPr/>
        <w:tc>
          <w:tcPr>
            <w:tcW w:w="64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50,563,449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52,446,956</w:t>
            </w:r>
          </w:p>
        </w:tc>
      </w:tr>
      <w:tr>
        <w:trPr/>
        <w:tc>
          <w:tcPr>
            <w:tcW w:w="64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63,213,081</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70,822,381</w:t>
            </w:r>
          </w:p>
        </w:tc>
      </w:tr>
      <w:tr>
        <w:trPr/>
        <w:tc>
          <w:tcPr>
            <w:tcW w:w="647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647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SHAREHOLDERS’ EQUITY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r>
      <w:tr>
        <w:trPr/>
        <w:tc>
          <w:tcPr>
            <w:tcW w:w="64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maturity of long-term loan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1,445,984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1,656,288</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854,400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1,025,427</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497,360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433,125</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21,502,619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24,553,231</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1,238,745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1,113,103</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1,437,353</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 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3,279,203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3,338,390</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 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507,479</w:t>
            </w:r>
          </w:p>
        </w:tc>
      </w:tr>
      <w:tr>
        <w:trPr/>
        <w:tc>
          <w:tcPr>
            <w:tcW w:w="64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28,818,311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34,064,396</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655,907</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1,252,657</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liabilities-non-current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9,035,680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10,677,310</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debt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117,605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64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9,809,192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11,929,967</w:t>
            </w:r>
          </w:p>
        </w:tc>
      </w:tr>
      <w:tr>
        <w:trPr/>
        <w:tc>
          <w:tcPr>
            <w:tcW w:w="64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38,627,503</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45,994,363</w:t>
            </w:r>
          </w:p>
        </w:tc>
      </w:tr>
      <w:tr>
        <w:trPr/>
        <w:tc>
          <w:tcPr>
            <w:tcW w:w="64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r>
      <w:tr>
        <w:trPr/>
        <w:tc>
          <w:tcPr>
            <w:tcW w:w="647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14)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647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vAlign w:val="bottom"/>
          </w:tcPr>
          <w:p>
            <w:pPr>
              <w:pStyle w:val="TableContents"/>
              <w:bidi w:val="0"/>
              <w:spacing w:before="0" w:after="283"/>
              <w:jc w:val="left"/>
              <w:rPr/>
            </w:pPr>
            <w:r>
              <w:rPr/>
              <w:t> </w:t>
            </w:r>
          </w:p>
        </w:tc>
      </w:tr>
      <w:tr>
        <w:trPr/>
        <w:tc>
          <w:tcPr>
            <w:tcW w:w="64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41" w:type="dxa"/>
            <w:tcBorders/>
            <w:shd w:fill="CCEEFF" w:val="clear"/>
            <w:vAlign w:val="bottom"/>
          </w:tcPr>
          <w:p>
            <w:pPr>
              <w:pStyle w:val="TableContents"/>
              <w:bidi w:val="0"/>
              <w:spacing w:before="0" w:after="283"/>
              <w:jc w:val="left"/>
              <w:rPr/>
            </w:pPr>
            <w:r>
              <w:rPr/>
              <w:t> </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A Ordinary shares, $0.0025 par value, 39,793,402 shares authorized, 1,012,774 and 860,402 shares issued and outstanding as of December 31, 2025 and June 30, 2025, respectively*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2,533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2,152</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Class B Ordinary shares, $0.0025 par value, 206,598 shares authorized, 206,598 shares issued and outstanding as of both December 31, 2025 and June 30, 2025*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w:t>
            </w:r>
          </w:p>
        </w:tc>
      </w:tr>
      <w:tr>
        <w:trPr/>
        <w:tc>
          <w:tcPr>
            <w:tcW w:w="6474"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14,897,248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12,457,680</w:t>
            </w:r>
          </w:p>
        </w:tc>
      </w:tr>
      <w:tr>
        <w:trPr/>
        <w:tc>
          <w:tcPr>
            <w:tcW w:w="6474"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earnings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9,685,281</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12,367,670</w:t>
            </w:r>
          </w:p>
        </w:tc>
      </w:tr>
      <w:tr>
        <w:trPr/>
        <w:tc>
          <w:tcPr>
            <w:tcW w:w="647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24,585,578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24,828,018</w:t>
            </w:r>
          </w:p>
        </w:tc>
      </w:tr>
      <w:tr>
        <w:trPr/>
        <w:tc>
          <w:tcPr>
            <w:tcW w:w="647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Shareholders’ Equity</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63,213,081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70,822,381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Shares and per share data are presented on a retroactive basis to reflect the recapitalization and 25:1 share consolidation effective April 2, 2026 as described in Note 13.</w:t>
      </w:r>
    </w:p>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302"/>
      <w:bookmarkEnd w:id="27"/>
      <w:r>
        <w:rPr>
          <w:rFonts w:ascii="Times New Roman PS Std;serif" w:hAnsi="Times New Roman PS Std;serif"/>
          <w:b/>
          <w:i w:val="false"/>
          <w:caps w:val="false"/>
          <w:smallCaps w:val="false"/>
          <w:sz w:val="20"/>
        </w:rPr>
        <w:t>INTERCONT (CAYMAN) LIMITED</w:t>
        <w:br/>
        <w:t>UNAUDITED CONDENSED CONSOLIDATED STATEMENTS OF INCOME</w:t>
        <w:br/>
        <w:t xml:space="preserve">(Expressed in U.S. Dollars — except for share data) </w:t>
      </w:r>
    </w:p>
    <w:tbl>
      <w:tblPr>
        <w:tblW w:w="10109" w:type="dxa"/>
        <w:jc w:val="left"/>
        <w:tblInd w:w="0" w:type="dxa"/>
        <w:tblLayout w:type="fixed"/>
        <w:tblCellMar>
          <w:top w:w="0" w:type="dxa"/>
          <w:left w:w="0" w:type="dxa"/>
          <w:bottom w:w="0" w:type="dxa"/>
          <w:right w:w="0" w:type="dxa"/>
        </w:tblCellMar>
      </w:tblPr>
      <w:tblGrid>
        <w:gridCol w:w="5896"/>
        <w:gridCol w:w="146"/>
        <w:gridCol w:w="286"/>
        <w:gridCol w:w="1396"/>
        <w:gridCol w:w="256"/>
        <w:gridCol w:w="146"/>
        <w:gridCol w:w="286"/>
        <w:gridCol w:w="1396"/>
        <w:gridCol w:w="301"/>
      </w:tblGrid>
      <w:tr>
        <w:trPr/>
        <w:tc>
          <w:tcPr>
            <w:tcW w:w="589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06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 related party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9,176,820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9,977,858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 third parties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1,445,122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1,429,265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 related parties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1,966,321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1,979,244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12,588,263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13,386,367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time charter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6,676,992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6,509,744</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vessel management services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2,905,329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3,054,356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9,582,321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9,564,100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3,005,942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3,822,267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3,894,427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1,261,906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574,041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436,024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4,468,468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1,697,930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(Loss)/income from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(1,462,526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2,124,337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3,531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(1,192,046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(1,191,971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expense, net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(28,139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(39,965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expenses,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(1,219,863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(1,228,405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58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(Loss)/income before income taxes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(2,682,389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895,932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 for income taxes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(2,682,389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895,932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8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Earnings per share – Basic and diluted*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8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1,076,035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Shares and per share data are presented on a retroactive basis to reflect the recapitalization and 25:1 share consolidation effective April 2, 2026 as described in Note 13.</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8" w:name="T303"/>
      <w:bookmarkEnd w:id="28"/>
      <w:r>
        <w:rPr>
          <w:rFonts w:ascii="Times New Roman PS Std;serif" w:hAnsi="Times New Roman PS Std;serif"/>
          <w:b/>
          <w:i w:val="false"/>
          <w:caps w:val="false"/>
          <w:smallCaps w:val="false"/>
          <w:sz w:val="20"/>
        </w:rPr>
        <w:t>INTERCONT (CAYMAN) LIMITED</w:t>
        <w:br/>
        <w:t>UNAUDITED CONDENSED CONSOLIDATED STATEMENTS OF CHANGES IN SHAREHOLDERS’ EQUITY</w:t>
        <w:br/>
        <w:t>FOR THE SIX MONTHS ENDED DECEMBER 31, 2025 AND 2024</w:t>
        <w:br/>
        <w:t xml:space="preserve">(Expressed in U.S. Dollars — except for share data) </w:t>
      </w:r>
    </w:p>
    <w:tbl>
      <w:tblPr>
        <w:tblW w:w="14590" w:type="dxa"/>
        <w:jc w:val="left"/>
        <w:tblInd w:w="0" w:type="dxa"/>
        <w:tblLayout w:type="fixed"/>
        <w:tblCellMar>
          <w:top w:w="0" w:type="dxa"/>
          <w:left w:w="0" w:type="dxa"/>
          <w:bottom w:w="0" w:type="dxa"/>
          <w:right w:w="0" w:type="dxa"/>
        </w:tblCellMar>
      </w:tblPr>
      <w:tblGrid>
        <w:gridCol w:w="1526"/>
        <w:gridCol w:w="146"/>
        <w:gridCol w:w="1261"/>
        <w:gridCol w:w="146"/>
        <w:gridCol w:w="301"/>
        <w:gridCol w:w="781"/>
        <w:gridCol w:w="146"/>
        <w:gridCol w:w="1051"/>
        <w:gridCol w:w="146"/>
        <w:gridCol w:w="336"/>
        <w:gridCol w:w="640"/>
        <w:gridCol w:w="146"/>
        <w:gridCol w:w="301"/>
        <w:gridCol w:w="1351"/>
        <w:gridCol w:w="256"/>
        <w:gridCol w:w="146"/>
        <w:gridCol w:w="301"/>
        <w:gridCol w:w="1396"/>
        <w:gridCol w:w="146"/>
        <w:gridCol w:w="301"/>
        <w:gridCol w:w="1396"/>
        <w:gridCol w:w="241"/>
        <w:gridCol w:w="146"/>
        <w:gridCol w:w="301"/>
        <w:gridCol w:w="1396"/>
        <w:gridCol w:w="286"/>
      </w:tblGrid>
      <w:tr>
        <w:trPr/>
        <w:tc>
          <w:tcPr>
            <w:tcW w:w="152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808" w:type="dxa"/>
            <w:gridSpan w:val="9"/>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br/>
              <w:br/>
              <w:t>Ordinary Shares*</w:t>
            </w:r>
          </w:p>
        </w:tc>
        <w:tc>
          <w:tcPr>
            <w:tcW w:w="146" w:type="dxa"/>
            <w:vMerge w:val="restart"/>
            <w:tcBorders/>
            <w:vAlign w:val="bottom"/>
          </w:tcPr>
          <w:p>
            <w:pPr>
              <w:pStyle w:val="TableContents"/>
              <w:bidi w:val="0"/>
              <w:spacing w:before="0" w:after="283"/>
              <w:jc w:val="left"/>
              <w:rPr/>
            </w:pPr>
            <w:r>
              <w:rPr/>
              <w:t> </w:t>
            </w:r>
          </w:p>
        </w:tc>
        <w:tc>
          <w:tcPr>
            <w:tcW w:w="190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Subscription</w:t>
              <w:br/>
              <w:t>receivable</w:t>
            </w:r>
          </w:p>
        </w:tc>
        <w:tc>
          <w:tcPr>
            <w:tcW w:w="146" w:type="dxa"/>
            <w:vMerge w:val="restart"/>
            <w:tcBorders/>
            <w:vAlign w:val="bottom"/>
          </w:tcPr>
          <w:p>
            <w:pPr>
              <w:pStyle w:val="TableContents"/>
              <w:bidi w:val="0"/>
              <w:spacing w:before="0" w:after="283"/>
              <w:jc w:val="left"/>
              <w:rPr/>
            </w:pPr>
            <w:r>
              <w:rPr/>
              <w:t> </w:t>
            </w:r>
          </w:p>
        </w:tc>
        <w:tc>
          <w:tcPr>
            <w:tcW w:w="3781"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Attributable to </w:t>
              <w:br/>
              <w:t>Intercont’s Shareholders</w:t>
            </w:r>
          </w:p>
        </w:tc>
        <w:tc>
          <w:tcPr>
            <w:tcW w:w="146" w:type="dxa"/>
            <w:tcBorders/>
            <w:vAlign w:val="bottom"/>
          </w:tcPr>
          <w:p>
            <w:pPr>
              <w:pStyle w:val="TableContents"/>
              <w:bidi w:val="0"/>
              <w:spacing w:before="0" w:after="283"/>
              <w:jc w:val="left"/>
              <w:rPr/>
            </w:pPr>
            <w:r>
              <w:rPr/>
              <w:t> </w:t>
            </w:r>
          </w:p>
        </w:tc>
        <w:tc>
          <w:tcPr>
            <w:tcW w:w="198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52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4808" w:type="dxa"/>
            <w:gridSpan w:val="9"/>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0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97"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 xml:space="preserve">Paid in </w:t>
              <w:br/>
              <w:t>Deficits)</w:t>
            </w:r>
          </w:p>
        </w:tc>
        <w:tc>
          <w:tcPr>
            <w:tcW w:w="146" w:type="dxa"/>
            <w:vMerge w:val="restart"/>
            <w:tcBorders/>
            <w:vAlign w:val="bottom"/>
          </w:tcPr>
          <w:p>
            <w:pPr>
              <w:pStyle w:val="TableContents"/>
              <w:bidi w:val="0"/>
              <w:spacing w:before="0" w:after="283"/>
              <w:jc w:val="left"/>
              <w:rPr/>
            </w:pPr>
            <w:r>
              <w:rPr/>
              <w:t> </w:t>
            </w:r>
          </w:p>
        </w:tc>
        <w:tc>
          <w:tcPr>
            <w:tcW w:w="193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Retained</w:t>
              <w:br/>
              <w:t>Interest</w:t>
            </w:r>
          </w:p>
        </w:tc>
        <w:tc>
          <w:tcPr>
            <w:tcW w:w="146" w:type="dxa"/>
            <w:vMerge w:val="restart"/>
            <w:tcBorders/>
            <w:vAlign w:val="bottom"/>
          </w:tcPr>
          <w:p>
            <w:pPr>
              <w:pStyle w:val="TableContents"/>
              <w:bidi w:val="0"/>
              <w:spacing w:before="0" w:after="283"/>
              <w:jc w:val="left"/>
              <w:rPr/>
            </w:pPr>
            <w:r>
              <w:rPr/>
              <w:t> </w:t>
            </w:r>
          </w:p>
        </w:tc>
        <w:tc>
          <w:tcPr>
            <w:tcW w:w="1983" w:type="dxa"/>
            <w:gridSpan w:val="3"/>
            <w:vMerge w:val="continue"/>
            <w:tcBorders/>
            <w:vAlign w:val="bottom"/>
          </w:tcPr>
          <w:p>
            <w:pPr>
              <w:pStyle w:val="Normal"/>
              <w:bidi w:val="0"/>
              <w:jc w:val="left"/>
              <w:rPr/>
            </w:pPr>
            <w:r>
              <w:rPr/>
            </w:r>
          </w:p>
        </w:tc>
      </w:tr>
      <w:tr>
        <w:trPr/>
        <w:tc>
          <w:tcPr>
            <w:tcW w:w="152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A</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 B</w:t>
            </w:r>
          </w:p>
        </w:tc>
        <w:tc>
          <w:tcPr>
            <w:tcW w:w="146" w:type="dxa"/>
            <w:tcBorders/>
            <w:vAlign w:val="bottom"/>
          </w:tcPr>
          <w:p>
            <w:pPr>
              <w:pStyle w:val="TableContents"/>
              <w:bidi w:val="0"/>
              <w:spacing w:before="0" w:after="283"/>
              <w:jc w:val="left"/>
              <w:rPr/>
            </w:pPr>
            <w:r>
              <w:rPr/>
              <w:t> </w:t>
            </w:r>
          </w:p>
        </w:tc>
        <w:tc>
          <w:tcPr>
            <w:tcW w:w="97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90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97"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3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83" w:type="dxa"/>
            <w:gridSpan w:val="3"/>
            <w:vMerge w:val="continue"/>
            <w:tcBorders/>
            <w:vAlign w:val="bottom"/>
          </w:tcPr>
          <w:p>
            <w:pPr>
              <w:pStyle w:val="Normal"/>
              <w:bidi w:val="0"/>
              <w:jc w:val="left"/>
              <w:rPr/>
            </w:pPr>
            <w:r>
              <w:rPr/>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June 30, 2024</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793,402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1,984</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206,598</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(1,350,000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3,016,900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9,263,403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10,932,803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Collection of subscription receivable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895,932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895,932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2024</w:t>
            </w:r>
          </w:p>
        </w:tc>
        <w:tc>
          <w:tcPr>
            <w:tcW w:w="146" w:type="dxa"/>
            <w:tcBorders/>
            <w:vAlign w:val="bottom"/>
          </w:tcPr>
          <w:p>
            <w:pPr>
              <w:pStyle w:val="TableContents"/>
              <w:bidi w:val="0"/>
              <w:spacing w:before="0" w:after="283"/>
              <w:jc w:val="left"/>
              <w:rPr/>
            </w:pPr>
            <w:r>
              <w:rPr/>
              <w:t> </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793,402</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1,984</w:t>
            </w:r>
          </w:p>
        </w:tc>
        <w:tc>
          <w:tcPr>
            <w:tcW w:w="146" w:type="dxa"/>
            <w:tcBorders/>
            <w:vAlign w:val="bottom"/>
          </w:tcPr>
          <w:p>
            <w:pPr>
              <w:pStyle w:val="TableContents"/>
              <w:bidi w:val="0"/>
              <w:spacing w:before="0" w:after="283"/>
              <w:jc w:val="left"/>
              <w:rPr/>
            </w:pPr>
            <w:r>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206,598</w:t>
            </w:r>
          </w:p>
        </w:tc>
        <w:tc>
          <w:tcPr>
            <w:tcW w:w="146" w:type="dxa"/>
            <w:tcBorders/>
            <w:vAlign w:val="bottom"/>
          </w:tcPr>
          <w:p>
            <w:pPr>
              <w:pStyle w:val="TableContents"/>
              <w:bidi w:val="0"/>
              <w:spacing w:before="0" w:after="283"/>
              <w:jc w:val="left"/>
              <w:rPr/>
            </w:pPr>
            <w:r>
              <w:rPr/>
              <w:t> </w:t>
            </w:r>
          </w:p>
        </w:tc>
        <w:tc>
          <w:tcPr>
            <w:tcW w:w="3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516</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3,016,900</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10,159,335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13,178,735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4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June 30, 2025</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860,402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2,152</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206,598</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12,457,680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12,367,670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24,828,018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shares for private placement</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29,990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191,985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192,060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commitment shares and pre-delivery shares for convertible note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105,619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1,972,625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1,972,889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convertible note</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16,763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274,958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2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(2,682,389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(2,682,389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2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December 31, 2025</w:t>
            </w:r>
          </w:p>
        </w:tc>
        <w:tc>
          <w:tcPr>
            <w:tcW w:w="146" w:type="dxa"/>
            <w:tcBorders/>
            <w:shd w:fill="CCEEFF" w:val="clear"/>
            <w:vAlign w:val="bottom"/>
          </w:tcPr>
          <w:p>
            <w:pPr>
              <w:pStyle w:val="TableContents"/>
              <w:bidi w:val="0"/>
              <w:spacing w:before="0" w:after="283"/>
              <w:jc w:val="left"/>
              <w:rPr/>
            </w:pPr>
            <w:r>
              <w:rPr/>
              <w:t> </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1,012,774</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2,533</w:t>
            </w:r>
          </w:p>
        </w:tc>
        <w:tc>
          <w:tcPr>
            <w:tcW w:w="146" w:type="dxa"/>
            <w:tcBorders/>
            <w:shd w:fill="CCEEFF" w:val="clear"/>
            <w:vAlign w:val="bottom"/>
          </w:tcPr>
          <w:p>
            <w:pPr>
              <w:pStyle w:val="TableContents"/>
              <w:bidi w:val="0"/>
              <w:spacing w:before="0" w:after="283"/>
              <w:jc w:val="left"/>
              <w:rPr/>
            </w:pPr>
            <w:r>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206,598</w:t>
            </w:r>
          </w:p>
        </w:tc>
        <w:tc>
          <w:tcPr>
            <w:tcW w:w="146" w:type="dxa"/>
            <w:tcBorders/>
            <w:shd w:fill="CCEEFF" w:val="clear"/>
            <w:vAlign w:val="bottom"/>
          </w:tcPr>
          <w:p>
            <w:pPr>
              <w:pStyle w:val="TableContents"/>
              <w:bidi w:val="0"/>
              <w:spacing w:before="0" w:after="283"/>
              <w:jc w:val="left"/>
              <w:rPr/>
            </w:pPr>
            <w:r>
              <w:rPr/>
              <w:t> </w:t>
            </w:r>
          </w:p>
        </w:tc>
        <w:tc>
          <w:tcPr>
            <w:tcW w:w="33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6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516</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14,897,248</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9,685,281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24,585,578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Shares and per share data are presented on a retroactive basis to reflect the recapitalization and 25:1 share consolidation effective April 2, 2026 as described in Note 13.</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304"/>
      <w:bookmarkEnd w:id="29"/>
      <w:r>
        <w:rPr>
          <w:rFonts w:ascii="Times New Roman PS Std;serif" w:hAnsi="Times New Roman PS Std;serif"/>
          <w:b/>
          <w:i w:val="false"/>
          <w:caps w:val="false"/>
          <w:smallCaps w:val="false"/>
          <w:sz w:val="20"/>
        </w:rPr>
        <w:t>INTERCONT (CAYMAN) LIMITED</w:t>
        <w:br/>
        <w:t>UNAUDITED CONDENSED CONSOLIDATED STATEMENTS OF CASH FLOWS</w:t>
        <w:br/>
        <w:t xml:space="preserve">(Expressed in U.S. Dollars — except for share data) </w:t>
      </w:r>
    </w:p>
    <w:tbl>
      <w:tblPr>
        <w:tblW w:w="10205" w:type="dxa"/>
        <w:jc w:val="left"/>
        <w:tblInd w:w="0" w:type="dxa"/>
        <w:tblLayout w:type="fixed"/>
        <w:tblCellMar>
          <w:top w:w="0" w:type="dxa"/>
          <w:left w:w="0" w:type="dxa"/>
          <w:bottom w:w="0" w:type="dxa"/>
          <w:right w:w="0" w:type="dxa"/>
        </w:tblCellMar>
      </w:tblPr>
      <w:tblGrid>
        <w:gridCol w:w="6052"/>
        <w:gridCol w:w="146"/>
        <w:gridCol w:w="301"/>
        <w:gridCol w:w="1351"/>
        <w:gridCol w:w="256"/>
        <w:gridCol w:w="146"/>
        <w:gridCol w:w="301"/>
        <w:gridCol w:w="1351"/>
        <w:gridCol w:w="301"/>
      </w:tblGrid>
      <w:tr>
        <w:trPr/>
        <w:tc>
          <w:tcPr>
            <w:tcW w:w="60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00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r>
      <w:tr>
        <w:trPr/>
        <w:tc>
          <w:tcPr>
            <w:tcW w:w="60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(2,682,389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895,932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(loss)/income to 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vessels and equipment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1,847,689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1,853,833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issuance cost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21,090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32,838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dry-docking cost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321,704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137,375</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operating lease right-of-use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1,560,385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1,498,080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short-term investment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20,597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discount for long-term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17,521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50,827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on convertible notes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392,605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261,821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1,013,315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(8,173,385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(85,424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(171,027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14,152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Contract liabilities-related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64,235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125,641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(21,911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from related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(80,926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106,889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(50,612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94,383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(1,437,353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(1,656,638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in)/provided by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(7,212,036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3,182,157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long-lived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(1,316,711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(546,901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Redemption of short-term investment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10,280,272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by/(used in) investing activities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8,963,561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(546,901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5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long-term loan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(828,144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(828,144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liabilities-principal repayment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(1,694,418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(1,626,284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private placement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192,060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convertible note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1,972,889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owing to related-party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IPO cost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(377,543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financing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(3,357,613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(1,481,971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60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(decrease)/increase in cash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(1,606,088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1,153,285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at beginning of period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5,648,749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3,751,921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at end of period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4,042,661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4,905,206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information: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562,952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1,051,307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transactions: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05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 of convertible note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05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commitment shares and pre-delivery shares for convertible note</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1,972,889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305"/>
      <w:bookmarkEnd w:id="30"/>
      <w:r>
        <w:rPr>
          <w:rFonts w:ascii="Times New Roman PS Std;serif" w:hAnsi="Times New Roman PS Std;serif"/>
          <w:b/>
          <w:i w:val="false"/>
          <w:caps w:val="false"/>
          <w:smallCaps w:val="false"/>
          <w:sz w:val="20"/>
        </w:rPr>
        <w:t>INTERCONT (CAYMAN) LIMITED</w:t>
        <w:br/>
        <w:t>NOTES TO UNAUDITED CONDENSED CONSOLIDATED FINANCIAL STATEMENTS</w:t>
        <w:br/>
        <w:t xml:space="preserve">(Expressed in U.S. Dollars — except for share data)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 ORGANIZATION AND BUSINESS DESCRIPTION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(Cayman) Limited (“Intercont” or the “Company”) was established under the laws of the Cayman Islands on July 4, 2023 as a holding company. The Company, through its subsidiaries (collectively, the “Group”) listed below, are principally engaged in time charter and vessel management services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Reorganization, the Company’s subsidiaries are as follows:</w:t>
      </w:r>
    </w:p>
    <w:tbl>
      <w:tblPr>
        <w:tblW w:w="10205" w:type="dxa"/>
        <w:jc w:val="left"/>
        <w:tblInd w:w="0" w:type="dxa"/>
        <w:tblLayout w:type="fixed"/>
        <w:tblCellMar>
          <w:top w:w="0" w:type="dxa"/>
          <w:left w:w="0" w:type="dxa"/>
          <w:bottom w:w="0" w:type="dxa"/>
          <w:right w:w="0" w:type="dxa"/>
        </w:tblCellMar>
      </w:tblPr>
      <w:tblGrid>
        <w:gridCol w:w="2337"/>
        <w:gridCol w:w="146"/>
        <w:gridCol w:w="2011"/>
        <w:gridCol w:w="146"/>
        <w:gridCol w:w="1807"/>
        <w:gridCol w:w="146"/>
        <w:gridCol w:w="1397"/>
        <w:gridCol w:w="146"/>
        <w:gridCol w:w="2069"/>
      </w:tblGrid>
      <w:tr>
        <w:trPr/>
        <w:tc>
          <w:tcPr>
            <w:tcW w:w="23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Subsidiaries</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Incorporation</w:t>
            </w:r>
          </w:p>
        </w:tc>
        <w:tc>
          <w:tcPr>
            <w:tcW w:w="146" w:type="dxa"/>
            <w:tcBorders/>
            <w:vAlign w:val="bottom"/>
          </w:tcPr>
          <w:p>
            <w:pPr>
              <w:pStyle w:val="TableContents"/>
              <w:bidi w:val="0"/>
              <w:spacing w:before="0" w:after="283"/>
              <w:jc w:val="left"/>
              <w:rPr/>
            </w:pPr>
            <w:r>
              <w:rPr/>
              <w:t> </w:t>
            </w:r>
          </w:p>
        </w:tc>
        <w:tc>
          <w:tcPr>
            <w:tcW w:w="180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Jurisdiction of </w:t>
              <w:br/>
              <w:t>Formation</w:t>
            </w:r>
          </w:p>
        </w:tc>
        <w:tc>
          <w:tcPr>
            <w:tcW w:w="146" w:type="dxa"/>
            <w:tcBorders/>
            <w:vAlign w:val="bottom"/>
          </w:tcPr>
          <w:p>
            <w:pPr>
              <w:pStyle w:val="TableContents"/>
              <w:bidi w:val="0"/>
              <w:spacing w:before="0" w:after="283"/>
              <w:jc w:val="left"/>
              <w:rPr/>
            </w:pPr>
            <w:r>
              <w:rPr/>
              <w:t> </w:t>
            </w:r>
          </w:p>
        </w:tc>
        <w:tc>
          <w:tcPr>
            <w:tcW w:w="13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direct/indirect </w:t>
              <w:br/>
              <w:t xml:space="preserve">Economic </w:t>
              <w:br/>
              <w:t>Ownership</w:t>
            </w:r>
          </w:p>
        </w:tc>
        <w:tc>
          <w:tcPr>
            <w:tcW w:w="146" w:type="dxa"/>
            <w:tcBorders/>
            <w:vAlign w:val="bottom"/>
          </w:tcPr>
          <w:p>
            <w:pPr>
              <w:pStyle w:val="TableContents"/>
              <w:bidi w:val="0"/>
              <w:spacing w:before="0" w:after="283"/>
              <w:jc w:val="left"/>
              <w:rPr/>
            </w:pPr>
            <w:r>
              <w:rPr/>
              <w:t> </w:t>
            </w:r>
          </w:p>
        </w:tc>
        <w:tc>
          <w:tcPr>
            <w:tcW w:w="206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Activities</w:t>
            </w:r>
          </w:p>
        </w:tc>
      </w:tr>
      <w:tr>
        <w:trPr/>
        <w:tc>
          <w:tcPr>
            <w:tcW w:w="23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Fortune Ocean Holdings Limited (“Fortune Ocean”)</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22, 2024</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British Virgin Islands (“BVI”)</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Holding</w:t>
            </w:r>
          </w:p>
        </w:tc>
      </w:tr>
      <w:tr>
        <w:trPr/>
        <w:tc>
          <w:tcPr>
            <w:tcW w:w="233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Wisdom Shipping Management Co., Limited (“Top Wisdom”)</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 2013</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w:t>
            </w:r>
          </w:p>
        </w:tc>
      </w:tr>
      <w:tr>
        <w:trPr/>
        <w:tc>
          <w:tcPr>
            <w:tcW w:w="233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 Shipping Limited (“Top Moral”)</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12, 2013</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service</w:t>
            </w:r>
          </w:p>
        </w:tc>
      </w:tr>
      <w:tr>
        <w:trPr/>
        <w:tc>
          <w:tcPr>
            <w:tcW w:w="233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Legend Shipping Co., Limited (“Top Legend”)</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6, 2013</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service</w:t>
            </w:r>
          </w:p>
        </w:tc>
      </w:tr>
      <w:tr>
        <w:trPr/>
        <w:tc>
          <w:tcPr>
            <w:tcW w:w="233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Creation International (HK) Limited (“Top Creation”)</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2011</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service</w:t>
            </w:r>
          </w:p>
        </w:tc>
      </w:tr>
      <w:tr>
        <w:trPr/>
        <w:tc>
          <w:tcPr>
            <w:tcW w:w="233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 Bright Marine Service Co., Limited (“Max Bright”)</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 2014</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service</w:t>
            </w:r>
          </w:p>
        </w:tc>
      </w:tr>
      <w:tr>
        <w:trPr/>
        <w:tc>
          <w:tcPr>
            <w:tcW w:w="2337"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Openwindow Technology Pte. Ltd. (“Openwindow”)</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2023</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Process of pulp, paper and paperboard</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below, the Company, through a series of transactions which is accounted for as a reorganization of entities under a common control (the “Reorganization”), became the ultimate parent of its subsidiaries.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Reorganization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reorganization of the legal structure was completed on March 27, 2024. The reorganization involved: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formation of the Company’s wholly owned subsidiary-Openwindow on July 28, 2023</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formation of Fortune Ocean on January 22, 2024 and all the equity interests of Top Wisdom, Top Moral, Top Legend, Top Creation and Max Bright were transferred to Fortune Ocean on March 14, 2024</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All the shareholders’ equity interests in Fortune Ocean were transferred to the Company on March 27, 2024 under common control and at nominal 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before and after the reorganization, the Company, together with its subsidiaries, is effectively controlled by the same group of shareholders. Therefore the reorganization is considered as a recapitalization of entities under common control in accordance with Accounting Standards Codification (“ASC”) 805-50-25. The combination and consolidation of the Company and its subsidiaries have been accounted for at historical cost and prepared on the basis as if the aforementioned transactions had become effective as of the beginning of the first period presented in the accompanying unaudited condensed consolidated financial statements in accordance with ASC 805-50-45-5.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 ORGANIZATION AND BUSINESS DESCRIPTION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Going concern 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assessing its liquidity, the Group monitors and analyzes its cash on hand, ability to generate sufficient revenue sources in the future and operating and capital expenditure commitments. As of December 31, 2025, the Group had cash of approximately $4,042,661. As of December 31, 2025 and June 30, 2025, the Group’s working capital deficit was $16,168,679 and $15,688,971, respectively. For the six months ended December 31, 2025, the Group’s net loss was $2,682,389.</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As of March 31, 2026, the Company had cash and cash equivalents of $3,808,469.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determines that the cash requirements exceed amounts of cash on hand, it may seek to issue debt or equity securities or obtain a credit facility.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into account the ability for the Group to raise financing, the management has alleviated the substantial doubt about the Group’s ability to continue as a going concern.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consolidated financial statements have been prepared in accordance with accounting principles generally accepted in the United States of America (“U.S. GAAP”) and pursuant to the rules and regulations of the Securities Exchange Commission (“SEC”). Accordingly, they do not include all of the information and footnotes required by generally accepted accounting principles for complete financial statements. In the opinion of management, all adjustments (consisting only of normal recurring accruals) considered necessary for a fair presentation have been included. Operating results for the six months ended December 31, 2025 and 2024 are not necessarily indicative of the results that may be expected for the full year.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Principles of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include the financial statements of the Company and its subsidiaries. All intercompany transactions and balances are eliminated upon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Subsidiaries are those entities in which the Company, directly or indirectly, controls more than 50% of the voting power; or has the power to govern the financial and operating policies, to appoint or remove the majority of the members of the board of directors, or to cast a majority of votes at the meeting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optout is irrevocable. The Group has elected not to opt out of such extended transition period which means that when a standard is issued or revised and it has different application dates for public or private companies, the Group, as an emerging growth company, can adopt the new or revised standard at the time private companies adopt the new or revised standard. This may make comparison of the Group’s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Uses of estimates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the unaudited condensed consolidated financial statements in conformity with U.S. GAAP, management makes estimates and assumptions that affect the reported amounts of assets and liabilities and disclosure of contingent assets and liabilities at the date of the financial statements and the reported amounts of revenues and expenses during the reporting period. These estimates are based on information as of the date of the unaudited condensed consolidated financial statements. Significant accounting estimates required to be made by management include, but are not limited to impairment of long-lived assets, determination of incremental borrowing rate for leases, expected credit loss of receivables. The Group evaluates its estimates and assumptions on an ongoing basis and its estimates on historical experience, current and expected future conditions and various other assumptions that management believes are reasonable under the circumstances based on the information available to management at the time these estimates and assumptions are made. Actual results and outcomes may differ significantly from these estimates and assumptions.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currency translation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functional currency of the Group is the U.S. dollar. The Group engages in international commerce with a variety of entities. Although its operations may expose it to certain levels of foreign currency risk, its transactions are predominantly U.S. dollar denominated and majority of the subsidiaries’ primary cash flows are U.S. dollar denominated. Transactions in currencies other than the functional currency are translated at the exchange rate in effect at the date of each transaction. Differences in exchange rates during the period between the date a transaction denominated in a foreign currency is consummated and the date on which it is either settled or translated, are recognized in the consolidated statements of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of financial instruments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inputs to the valuation methodology are quoted prices (unadjusted) for identical assets or liabilities in active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inputs to the valuation methodology are unobservable.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disclosed, the fair value of the Group’s financial instruments, including cash, accounts receivable, due from related parties, accounts payable, advance from customers, due to related parties, accrued expenses and current maturity of long-term loan approximates their recorded values. The Group determined that the carrying value of the long-term loans approximated their fair value by comparing the stated loan interest rate to the rate charged by similar financial institutions.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comprises cash at banks and on hand, which includes deposits with original maturities of three months or less with commercial banks.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Expected credit losses of receivables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accounts receivable, other receivables (included in “prepayments and other current assets”) and due from related parties are within the scope of Accounting Standards Codification (“ASC”) 326. To estimate current expected credit losses, the Group has identified the relevant risk characteristics of its customers and the related receivables and other receivables which include size, type of the services the Group provides, or a combination of these characteristics. Receivables with similar risk characteristics have been grouped into pools. For each pool, the Group considers the past collection experience, any changes in customer collection trends, the credit worthiness of customers, the contractual and customary payment terms that generally range from 30 to 180 days, current economic conditions, and expectation of future economic conditions (external data and macroeconomic factors). Receivable balances are written off (i.e., charged-off against the allowance) when they are determined to be uncollectible after all means of collection have been exhausted and the potential for recovery is considered remote. The Group recorded current expected credit loss expense for accounts receivable amounted to nil for the six months ended December 31, 2025 and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assets primarily consist of lease deposit, and employee advance, which are presented net of allowance for doubtful accounts. These balances are unsecured and are reviewed periodically to determine whether their carrying value has become impaired. The Group considers the balances to be impaired if the collectability of the balances becomes doubtful. The Group uses the loss-rate method to estimate the allowance for credit losses. The Group considers the past collection experience, any changes in collection trends, the credit worthiness of counter-parties, the contractual terms, current economic conditions, and expectation of future economic conditions. Actual amounts received or utilized may differ from management’s estimate of credit worthiness and the economic environment. Delinquent account balances are written off against allowance for credit losses after management has determined that the likelihood of collection is not probable. For the six months ended December 31, 2025 and 2024, the Group provided allowance for credit losses of nil.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Property and equipment,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are recorded at cost. Depreciation is provided in amounts sufficient to amortize the cost of the related assets over their useful lives using the straight-line method, as follows:</w:t>
      </w:r>
    </w:p>
    <w:tbl>
      <w:tblPr>
        <w:tblW w:w="4618" w:type="dxa"/>
        <w:jc w:val="left"/>
        <w:tblInd w:w="0" w:type="dxa"/>
        <w:tblLayout w:type="fixed"/>
        <w:tblCellMar>
          <w:top w:w="0" w:type="dxa"/>
          <w:left w:w="0" w:type="dxa"/>
          <w:bottom w:w="0" w:type="dxa"/>
          <w:right w:w="0" w:type="dxa"/>
        </w:tblCellMar>
      </w:tblPr>
      <w:tblGrid>
        <w:gridCol w:w="3241"/>
        <w:gridCol w:w="146"/>
        <w:gridCol w:w="1231"/>
      </w:tblGrid>
      <w:tr>
        <w:trPr/>
        <w:tc>
          <w:tcPr>
            <w:tcW w:w="3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Useful life</w:t>
            </w:r>
          </w:p>
        </w:tc>
      </w:tr>
      <w:tr>
        <w:trPr/>
        <w:tc>
          <w:tcPr>
            <w:tcW w:w="3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electronic equipment</w:t>
            </w:r>
          </w:p>
        </w:tc>
        <w:tc>
          <w:tcPr>
            <w:tcW w:w="146"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years</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recognized in the unaudited condensed consolidated statements of income in other income or expenses. Depreciation expense was $3,567 and $782 for the six months ended December 31, 2025 and 2024,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Vessels,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are carried at historical cost less accumulated depreciation and impairment adjustments, if any. The depreciation on vessels is reviewed annually to ensure that the method and period used reflect the pattern in which the asset’s future economic benefits are expected to be consumed. The gross carrying amount of the vessel is the purchase price, including duties/taxes, borrowing costs and any other direct costs attributable to bringing it to the location and condition necessary for the vessels intended use. Capitalization of costs will cease once the vessel is in the location and condition necessary for it to be able to operate in the manner consistent with its intended design. Subsequent expenditures for conversions and major improvements are also capitalized when they appreciably extend the life, increase the earning capacity or improve the efficiency or safety of a vessel; otherwise, these amounts are charged to expense as incurred.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computed using the straight-line method over the estimated useful life of a vessel, after considering the estimated salvage value. Each vessel’s salvage value is equal to the product of its lightweight tonnage and estimated scrap rate. Salvage values are periodically reviewed and revised, if needed, to recognize changes in conditions, new regulations or for other reasons. Revisions of salvage value affect the depreciable amount of the vessels and affect depreciation expense in the period of the revision and future periods. Management estimates the useful life of its vessels to be 10 – 25 years from the date of their initial delivery from the shipyard.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under financing leases are also included in this caption on the consolidated balance sheets.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long-lived assets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net, property and equipment, net and other long-lived assets held and used are reviewed periodically for potential impairment whenever events or changes in circumstances indicate that the carrying amount of a particular asset may not be fully recoverable. The Group evaluates the carrying amounts and periods over which long-lived assets are depreciated to determine if events or changes in circumstances have occurred that would require modification to their carrying values or useful lives. Measurement of the impairment loss is based on the fair value of the asset. The Group determines the fair value of its assets on the basis of management estimates and assumptions by making use of available market data and taking into consideration third party valuations performed on an individual vessel basis. In evaluating useful lives and carrying values of long-lived assets, certain indicators of potential impairment, are reviewed such as undiscounted projected operating cash flows, vessel market price, gross profit margin and overall market conditions.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Undiscounted projected net operating cash flows are determined for each asset group and compared to the carrying value of the vessel, the unamortized portion of deferred drydock and other capitalized items, if any, related to the vessel. The Group has considered various indicators, including but not limited to, the market price of its long-lived assets, its contracted revenues and cash flows and the economic outlook.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June 30, 2025, the Group concluded that events and circumstances did not trigger the existence of potential impairment of its vessels and other long-lived assets and that step one of the impairment analysis was not required.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dry docking cost,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are subject to regularly scheduled drydocking and special surveys which are generally carried out every 60 months, depending on the vessels’ ages to coincide with the renewal of the related certificates issued by the classification societies, unless a further extension is obtained in rare cases and under certain conditions. The cost of drydocking and special surveys are deferred and amortized over the above periods or to the next drydocking or special survey date if such date has been determined.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capitalized as part of the drydocking consist principally of the actual costs incurred at the yard, and expenses relating to spare parts, paints, lubricants and services incurred solely during the drydocking or special survey period. As of December 31, 2025 and June 30, 2025, the deferred dry-docking cost, net was $1,107,701 and $682,637, respectively. For the six months ended December 31, 2025 and 2024, the amortization expense for the deferred dry-docking costs amounted to $321,704 and $137,375,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Short-term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investments consist of the Group’s investment in private funds. The private equity fund, over which the Group does not have the ability to exercise significant influence, is accounted for under the practical expedient in ASC Topic 820, Fair Value Measurement (“ASC 820”) to estimate fair value using the net asset value per share (or its equivalent) of the investment (“NAV practical expedient”). The Company currently does not hold any investments that do not qualify for the NAV practical expedient.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engaged in vessels rental and management services and primarily derives its revenue from time charter contracts and provides vessel management service.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 2019, the Group has adopted ASC 842 “Leases” and ASU 2014-09, Revenue from Contracts with Customers (ASC 606) and all subsequent ASUs that modified ASC 606 using the modified retrospective approach.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the Group applies the following steps: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1: Identify the contract(s) with a customer</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2: Identify the performance obligations in the contract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3: Determine the transaction price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4: Allocate the transaction price to the performance obligations in the contract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5: Recognize revenue when (or as) the entity satisfies a performance obligation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Time charter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time charter is a type of contract that is entered into for the use of such vessel as well as such vessel’s operations for a specific period of time at a specified daily charter hire rate. Charter durations may range from one month to two years. The Group accounts for its time charter contracts as operating leases pursuant to ASC 842 “Leases”. The Group has determined that the non-lease component in its time charter contracts relates to services for the operation of the vessel, which comprise of crew, technical and safety services, among others. The Group further elected to adopt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discussed optional practical expedient and recognize lease revenue as a combined single lease component for all time charter contracts (operating leases) since it made a determination that the related lease component and non-lease component have the same timing and pattern of transfer during lease term of each vessel and the predominant component is the lease. Lease revenues are recognized on a straight-line basis over the rental periods of such charter agreements, as rental service is provided, beginning when a vessel is delivered to the charterer until it is redelivered back to the Group, and is recorded as time charter 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operating costs incurred during the leasing period for the maintenance and operation of the vessels such as for crews, maintenance and insurance are typically paid by the Group are expensed as incurred as the timing and pattern of transfer of the components are identical to the operating lease revenue earned from the charter hire.</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Vessel management services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contracts with various customers to carry out vessel management services. Vessel management services consists of assignment of the Group’s crew team member to the customers’ vessels for their operation and provision of dry-docking, lubricating oil, spare parts procurement and other maintenance services over the contract term. Most of the vessel management services agreements have a term more than one year and are typically billed on a monthly basis. The Group provides the services to the customer and satisfies its performance obligation over the term of the contract.</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Disaggregation of 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the disaggregated revenues by revenue streams were as follows:</w:t>
      </w:r>
    </w:p>
    <w:tbl>
      <w:tblPr>
        <w:tblW w:w="9567" w:type="dxa"/>
        <w:jc w:val="left"/>
        <w:tblInd w:w="0" w:type="dxa"/>
        <w:tblLayout w:type="fixed"/>
        <w:tblCellMar>
          <w:top w:w="0" w:type="dxa"/>
          <w:left w:w="0" w:type="dxa"/>
          <w:bottom w:w="0" w:type="dxa"/>
          <w:right w:w="0" w:type="dxa"/>
        </w:tblCellMar>
      </w:tblPr>
      <w:tblGrid>
        <w:gridCol w:w="6166"/>
        <w:gridCol w:w="146"/>
        <w:gridCol w:w="286"/>
        <w:gridCol w:w="1246"/>
        <w:gridCol w:w="146"/>
        <w:gridCol w:w="286"/>
        <w:gridCol w:w="1291"/>
      </w:tblGrid>
      <w:tr>
        <w:trPr/>
        <w:tc>
          <w:tcPr>
            <w:tcW w:w="61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5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r>
      <w:tr>
        <w:trPr/>
        <w:tc>
          <w:tcPr>
            <w:tcW w:w="61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(over time recognition)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9,176,820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9,977,858</w:t>
            </w:r>
          </w:p>
        </w:tc>
      </w:tr>
      <w:tr>
        <w:trPr/>
        <w:tc>
          <w:tcPr>
            <w:tcW w:w="61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(over time recognition)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3,411,443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3,408,509</w:t>
            </w:r>
          </w:p>
        </w:tc>
      </w:tr>
      <w:tr>
        <w:trPr/>
        <w:tc>
          <w:tcPr>
            <w:tcW w:w="61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12,588,263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13,386,367</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the disaggregated revenues by customer location were as follows:</w:t>
      </w:r>
    </w:p>
    <w:tbl>
      <w:tblPr>
        <w:tblW w:w="5217" w:type="dxa"/>
        <w:jc w:val="left"/>
        <w:tblInd w:w="0" w:type="dxa"/>
        <w:tblLayout w:type="fixed"/>
        <w:tblCellMar>
          <w:top w:w="0" w:type="dxa"/>
          <w:left w:w="0" w:type="dxa"/>
          <w:bottom w:w="0" w:type="dxa"/>
          <w:right w:w="0" w:type="dxa"/>
        </w:tblCellMar>
      </w:tblPr>
      <w:tblGrid>
        <w:gridCol w:w="1816"/>
        <w:gridCol w:w="146"/>
        <w:gridCol w:w="286"/>
        <w:gridCol w:w="1246"/>
        <w:gridCol w:w="146"/>
        <w:gridCol w:w="286"/>
        <w:gridCol w:w="1291"/>
      </w:tblGrid>
      <w:tr>
        <w:trPr/>
        <w:tc>
          <w:tcPr>
            <w:tcW w:w="18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25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Six Months ended </w:t>
              <w:br/>
              <w:t>December 31,</w:t>
            </w:r>
          </w:p>
        </w:tc>
      </w:tr>
      <w:tr>
        <w:trPr/>
        <w:tc>
          <w:tcPr>
            <w:tcW w:w="18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181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9,250,107</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10,047,638</w:t>
            </w:r>
          </w:p>
        </w:tc>
      </w:tr>
      <w:tr>
        <w:trPr/>
        <w:tc>
          <w:tcPr>
            <w:tcW w:w="18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 S.A.R.</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1,892,510</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1,909,464</w:t>
            </w:r>
          </w:p>
        </w:tc>
      </w:tr>
      <w:tr>
        <w:trPr/>
        <w:tc>
          <w:tcPr>
            <w:tcW w:w="181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countries</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1,445,646</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1,429,265</w:t>
            </w:r>
          </w:p>
        </w:tc>
      </w:tr>
      <w:tr>
        <w:trPr/>
        <w:tc>
          <w:tcPr>
            <w:tcW w:w="181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tcPr>
          <w:p>
            <w:pPr>
              <w:pStyle w:val="TableContents"/>
              <w:bidi w:val="0"/>
              <w:spacing w:before="0" w:after="283"/>
              <w:jc w:val="left"/>
              <w:rPr/>
            </w:pPr>
            <w:r>
              <w:rPr/>
              <w:t> </w:t>
            </w:r>
          </w:p>
        </w:tc>
        <w:tc>
          <w:tcPr>
            <w:tcW w:w="286"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12,588,263</w:t>
            </w:r>
          </w:p>
        </w:tc>
        <w:tc>
          <w:tcPr>
            <w:tcW w:w="146" w:type="dxa"/>
            <w:tcBorders/>
          </w:tcPr>
          <w:p>
            <w:pPr>
              <w:pStyle w:val="TableContents"/>
              <w:bidi w:val="0"/>
              <w:spacing w:before="0" w:after="283"/>
              <w:jc w:val="left"/>
              <w:rPr/>
            </w:pPr>
            <w:r>
              <w:rPr/>
              <w:t> </w:t>
            </w:r>
          </w:p>
        </w:tc>
        <w:tc>
          <w:tcPr>
            <w:tcW w:w="286" w:type="dxa"/>
            <w:tcBorders>
              <w:bottom w:val="double" w:sz="2" w:space="0" w:color="000000"/>
            </w:tcBorders>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13,386,367</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contract liability exists when the Group has received consideration prior to it being earned. These amounts are recognized as revenue over the charter period. As of December 31, 2025 and June 30, 2025, contract liabilities amounted to $497,360, and $433,125, respectively. All contract liabilities as of June 30, 2025 have been recognized as revenue in the next month. All contract liabilities as of December 31, 2025 have been recognized as revenue in January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lease contracts for vessels and office space. Leases are classified as either operating leases or finance leases, based on an assessment of the terms of the lease. The Group records lease liabilities and right-of-use assets on its consolidated balance sheets at lease commencement. The Group measures its lease liabilities based on the present value of the total lease payments not yet paid discounted based on the more readily determinable of the rate implicit in the lease or its incremental borrowing rate, which is the estimated rate the Group would be required to pay for a collateralized borrowing equal to the total lease payments over the term of the lease. The Group estimates its incremental borrowing rate based on an analysis of weighted average interest rate of its own bank loan. The Group measures right-of-use assets based on the corresponding lease liability adjusted for payments made to the lessor at or before the commencement date, and initial direct costs it incurs under the lease. The Group begins recognizing lease expense when the lessor makes the underlying asset available to the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leases with a lease term not more than one year and without a purchase option (short-term leases), the Group records operating lease expense in its consolidated statements of income on a straight-line basis over the lease term and record variable lease payments as incurred.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current income taxes in accordance with the laws of the relevant tax authorities. Deferred income taxes are recognized when temporary differences exist between the tax bases of assets and liabilities and their reported amounts in the unaudited condensed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Earnings per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computes earnings per share (“EPS”) in accordance with ASC 260, “Earnings per Share” (“ASC 260”). ASC 260 requires companies with complex capital structures to present basic and diluted EPS. Basic EPS is measured as net income divided by the weighted average ordinary shares outstanding for the period. Diluted presents the dilutive effect on a per share basis of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 For the six months ended December 31, 2025 and 2024, there were 1,076,035 and 1,000,000 weighted average basic and dilutive shares,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Segment reporting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280, “Segment Reporting”, establishes standards for reporting information about operating segments on a basis consistent with the Group’s internal organizational structure as well as information about geographical areas, business segments and major customers in financial statements for details on the Group’s business segments. The Group uses the “management approach” in determining reportable operating segments. The management approach considers the internal organization and reporting used by the Group’s CODM for making operating decisions and assessing performance as the source for determining the Group’s reportable segments. The Chief Executive Officer is identified as the chief operating decision maker (CODM). The management, including the chief operating decision maker, measures performance based on our overall return to shareholders based on combined net income. Although separate vessel financial information is available, the CODM internally evaluates the performance of the Group as a whole and not on the basis of separate business units, as a result, the Group has determined that it operates as one reportable segment.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does not review segment assets and segment expenses at a level different than what is reported in the Company’s Consolidated Balance Sheets and Consolidated Statements of Income. Additionally, the CODM regularly receives information about the Company’s capital expenditures which are reported in the Company’s Consolidated Statement of Cash Flows as purchase of long-lived assets under investing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other segment items include research and development expenses related to seaborne innovational business with current research direction of seaborne pulping for the six months ended December 31, 2025 and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all revenue is generated outside of the United States. For disaggregated revenues by revenue streams and customer location, please see Revenue Recognition above.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long-lived assets consist primarily of vessels and property and equipment, all of which are located outside of the United States.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Concentrations of risks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Concentration of credit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that potentially subject the Group to a significant concentration of credit risk primarily consist of cash and other current assets. The maximum exposure of such assets to credit risk is their carrying amounts at the balance sheet dates. As of December 31, 2025, and June 30, 2025, the aggregate amount of cash of $3,829,158 and $5,441,407, respectively, was held at major financial institutions in Singapore. The Group believes that no significant credit risk exists as all of the Group’s cash are held with financial institutions in Singapore of high credit quality. Deposits are insured by the Singapore Deposit Insurance Corporation, for up to 100,000 Singapore Dollar (approximately $78,000) in aggregate per depositor. As of December 31, 2025, and June 30, 2025, the Group’s uninsured cash balance was approximately $3,875,168 and $5,478,297, respectively. The Group conducts credit evaluations of its customers and suppliers, and generally does not require collateral or other security from them. The Group establishes an accounting policy to provide for allowance for credit loss based on the individual customer’s and supplier’s financial condition, credit history, and the current economic conditions.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Significant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the six months ended December 31, 2025, Customer A (Topsheen Shipping Singapore Pte. Ltd., a related party) and Customer B accounted for approximately 73% and 11%, respectively, of the Group’s total revenues. For the six months ended December 31, 2024, Customer A (Topsheen Shipping Singapore Pte. Ltd., a related party) and Customer B accounted for approximately 70% and 11% respectively, of the Group’s total revenues. As of December 31, 2025, Customer B accounted for approximately 98% of the Group’s accounts receivable. As of June 30, 2025, Customer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 a related party), Customer B, Customer D (Meida Shipping Co., Limited, a related party) and Customer E (Tongda Shipping Co., Limited, a related party) accounted for approximately 47%, 22%, 12% and 11%, respectively, of the Group’s accounts receivable and accounts receivable-related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Significant suppliers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Supplier A accounted for approximately 17% of the Group’s total cost of revenues. For the six months ended December 31, 2024, Supplier A accounted for approximately 17% of the Group’s total cost of revenues. As of December 31, 2025 and June 30, 2025, no supplier accounted for more than 10% of the Company’s total accounts payable.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Pronouncements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considers the applicability and impact of all accounting standards updates (“ASUs”). Management periodically reviews new accounting standards that are issued.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2019, the FASB issued ASU No. 2019-12, Income Taxes (Topic 740) — Simplifying the Accounting for Income Taxes. ASU 2019-12 is intended to simplify accounting for income taxes. It removes certain exceptions to the general principles in Topic 740 and amends existing guidance to improve consistent application. ASU 2019-12 is effective for fiscal years beginning after December 15, 2020 and interim periods within those fiscal years. The adoption of this guidance did not have a material impact on the Group’s unaudited condensed consolidated financial statements. In December 2023, the Financial Accounting Standards Board (“FASB”) issued ASU 2023-09, “Income Taxes (Topic 740): Improvements to Income Tax Disclosures” (“ASU 2023-09”). This ASU requires that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A public entity should apply the amendments in ASU 2023-09 prospectively to all annual periods beginning after December 15, 2024. The adoption of this guidance did not have a material impact on the Group’s unaudited condensed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2023, the FASB issued ASU 2023-07, Segment Reporting (Topic 280).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ASU 2023-07 is effective for fiscal years beginning after December 15, 2023, and interim periods within fiscal years beginning after December 15, 2024, and requires retrospective adoption. The Company adopted ASU 2023-07 as of July 1, 2024. The adoption of this guidance did not have a material impact on the Group’s unaudited condensed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2024, the FASB issued ASU 2024-02, Codification Improvements — Amendments to Remove References to the Concepts Statements. The amendments in ASU 2024-02 contain amendments to the Codification that remove references to various FASB Concepts Statements. Following the release of ASU 2024-02 in March 2024, the effective date will be annual reporting periods beginning after December 15, 2024. The adoption of this guidance did not have a material impact on the Group’s unaudited condensed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July 2025, the FASB issued ASU 2025-05, Measurement of Credit Losses for Accounts Receivable and Contract Assets. ASU 2025-05 amends ASC 326, Financial Instruments — Credit Losses, and introduces a practical expedient available for all entities and an accounting policy election available for all entities, other than public business entities, that elect the practical expedient. These changes apply to the estimation of expected credit losses for current accounts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receivable and current contract assets arising from transactions accounted for under ASC 606, Revenue Recognition. Under the practical expedient, entities may assume that current conditions as of the balance sheet date remain unchanged for the remaining life of the asset when developing reasonable and supportable forecasts. This simplifies the estimation process for short-term financial assets. ASU 2025-05 is effective for the Group’s annual reporting periods beginning after December 15, 2025, and interim reporting periods within those annual reporting periods, with early adoption permitted. ASU 2025-05 should be applied on a prospective basis. The Group is currently assessing the impact this standard will have on the Group’s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the FASB issued ASU 2025-11, Interim Reporting (Topic 270): Narrow-Scope Improvement. ASU 2025-11 is intended to improve the navigability of required interim disclosures and clarify when that guidance is applicable, and also to provide additional guidance on what disclosures should be provided in interim reporting periods. ASU 2025-11 is effective for public business entities for interim reporting periods within annual reporting periods beginning after December 15, 2027. Early adoption is permitted. The Group is currently evaluating the impact of ASU 2025-11 on its financial statements and related disclosures.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2025, the FASB issued ASU 2025-12, Codification Improvements. ASU 2025-12 makes thirty-three incremental improvements to generally accepted accounting principles. ASU 2025-12 is effective for all entities for annual reporting periods beginning after December 15, 2026, and interim reporting periods within those annual reporting periods. The Group is currently evaluating the impact of ASU 2025-12 on its financial statements and related disclosures.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believe other recently issued but not yet effective accounting standards, if currently adopted, would have a material effect on the Group’s consolidated balance sheets, statements of income and statements of cash flows.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PREPAYMENTS AND OTHER ASSETS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current assets consisted of the following:</w:t>
      </w:r>
    </w:p>
    <w:tbl>
      <w:tblPr>
        <w:tblW w:w="6535" w:type="dxa"/>
        <w:jc w:val="left"/>
        <w:tblInd w:w="0" w:type="dxa"/>
        <w:tblLayout w:type="fixed"/>
        <w:tblCellMar>
          <w:top w:w="0" w:type="dxa"/>
          <w:left w:w="0" w:type="dxa"/>
          <w:bottom w:w="0" w:type="dxa"/>
          <w:right w:w="0" w:type="dxa"/>
        </w:tblCellMar>
      </w:tblPr>
      <w:tblGrid>
        <w:gridCol w:w="3331"/>
        <w:gridCol w:w="146"/>
        <w:gridCol w:w="331"/>
        <w:gridCol w:w="1304"/>
        <w:gridCol w:w="146"/>
        <w:gridCol w:w="286"/>
        <w:gridCol w:w="991"/>
      </w:tblGrid>
      <w:tr>
        <w:trPr/>
        <w:tc>
          <w:tcPr>
            <w:tcW w:w="33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 to crew</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215,431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172,133</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 to employee</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28,780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57,408</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deposit(1)</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consulting service fee(2)</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7,479,825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76,743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58,810</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7,900,779</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788,351</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non-current assets consisted of the following:</w:t>
      </w:r>
    </w:p>
    <w:tbl>
      <w:tblPr>
        <w:tblW w:w="7720" w:type="dxa"/>
        <w:jc w:val="left"/>
        <w:tblInd w:w="0" w:type="dxa"/>
        <w:tblLayout w:type="fixed"/>
        <w:tblCellMar>
          <w:top w:w="0" w:type="dxa"/>
          <w:left w:w="0" w:type="dxa"/>
          <w:bottom w:w="0" w:type="dxa"/>
          <w:right w:w="0" w:type="dxa"/>
        </w:tblCellMar>
      </w:tblPr>
      <w:tblGrid>
        <w:gridCol w:w="4516"/>
        <w:gridCol w:w="146"/>
        <w:gridCol w:w="331"/>
        <w:gridCol w:w="1304"/>
        <w:gridCol w:w="146"/>
        <w:gridCol w:w="286"/>
        <w:gridCol w:w="991"/>
      </w:tblGrid>
      <w:tr>
        <w:trPr/>
        <w:tc>
          <w:tcPr>
            <w:tcW w:w="45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4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security deposit(3)</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r>
      <w:tr>
        <w:trPr/>
        <w:tc>
          <w:tcPr>
            <w:tcW w:w="4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research and development expenses</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consulting service fee(2)</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960,959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1,535,959</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Rental deposit represents a deposit of $100,000 paid to the lessor of Top Advancer (see Note 8). During the six months ended December 31, 2025, the Company received $400,000 of this deposit, and the remaining balance is expected to be received in March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PREPAYMENTS AND OTHER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This represents prepaid consulting service fees of $8,440,784 paid to third-party service providers for consulting. These services are expected to be rendered over a contractual period of two years. The Company amortizes the prepaid consulting service fees on a straight-line basis over the service period. As of December 31, 2025, $7,479,825 and $960,959 are classified as current and non-current, respectively, based on the expected timing of service delivery.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This is long-term loan security deposit of $475,000, which is expected to be collected at the end of long-term loan agreement (see Note 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VESSELS, NET</w:t>
      </w:r>
    </w:p>
    <w:tbl>
      <w:tblPr>
        <w:tblW w:w="9103" w:type="dxa"/>
        <w:jc w:val="left"/>
        <w:tblInd w:w="0" w:type="dxa"/>
        <w:tblLayout w:type="fixed"/>
        <w:tblCellMar>
          <w:top w:w="0" w:type="dxa"/>
          <w:left w:w="0" w:type="dxa"/>
          <w:bottom w:w="0" w:type="dxa"/>
          <w:right w:w="0" w:type="dxa"/>
        </w:tblCellMar>
      </w:tblPr>
      <w:tblGrid>
        <w:gridCol w:w="3226"/>
        <w:gridCol w:w="146"/>
        <w:gridCol w:w="286"/>
        <w:gridCol w:w="1246"/>
        <w:gridCol w:w="241"/>
        <w:gridCol w:w="146"/>
        <w:gridCol w:w="286"/>
        <w:gridCol w:w="1321"/>
        <w:gridCol w:w="241"/>
        <w:gridCol w:w="146"/>
        <w:gridCol w:w="286"/>
        <w:gridCol w:w="1246"/>
        <w:gridCol w:w="286"/>
      </w:tblGrid>
      <w:tr>
        <w:trPr/>
        <w:tc>
          <w:tcPr>
            <w:tcW w:w="3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Cost</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Depreciation</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Value</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Vessels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70,448,896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(20,726,468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49,722,428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(1,844,122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(1,844,122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movement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(6,399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December 31, 2025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70,442,497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(22,570,590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47,871,907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balances as of December 31, 2025 and June 30, 2025 are analyzed in the following tables:</w:t>
      </w:r>
    </w:p>
    <w:tbl>
      <w:tblPr>
        <w:tblW w:w="8742" w:type="dxa"/>
        <w:jc w:val="left"/>
        <w:tblInd w:w="0" w:type="dxa"/>
        <w:tblLayout w:type="fixed"/>
        <w:tblCellMar>
          <w:top w:w="0" w:type="dxa"/>
          <w:left w:w="0" w:type="dxa"/>
          <w:bottom w:w="0" w:type="dxa"/>
          <w:right w:w="0" w:type="dxa"/>
        </w:tblCellMar>
      </w:tblPr>
      <w:tblGrid>
        <w:gridCol w:w="3226"/>
        <w:gridCol w:w="146"/>
        <w:gridCol w:w="286"/>
        <w:gridCol w:w="1246"/>
        <w:gridCol w:w="146"/>
        <w:gridCol w:w="286"/>
        <w:gridCol w:w="1201"/>
        <w:gridCol w:w="241"/>
        <w:gridCol w:w="146"/>
        <w:gridCol w:w="286"/>
        <w:gridCol w:w="1246"/>
        <w:gridCol w:w="286"/>
      </w:tblGrid>
      <w:tr>
        <w:trPr/>
        <w:tc>
          <w:tcPr>
            <w:tcW w:w="3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Cost</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Depreciation</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Value</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Owned Vessel*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14,094,790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(2,491,323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11,603,467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(433,273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(433,273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December 31, 2025</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14,094,790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(2,924,596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11,170,194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4328"/>
        <w:gridCol w:w="146"/>
        <w:gridCol w:w="286"/>
        <w:gridCol w:w="1246"/>
        <w:gridCol w:w="241"/>
        <w:gridCol w:w="146"/>
        <w:gridCol w:w="286"/>
        <w:gridCol w:w="1321"/>
        <w:gridCol w:w="241"/>
        <w:gridCol w:w="146"/>
        <w:gridCol w:w="286"/>
        <w:gridCol w:w="1246"/>
        <w:gridCol w:w="286"/>
      </w:tblGrid>
      <w:tr>
        <w:trPr/>
        <w:tc>
          <w:tcPr>
            <w:tcW w:w="432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Cost</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Depreciation</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Value</w:t>
            </w:r>
          </w:p>
        </w:tc>
      </w:tr>
      <w:tr>
        <w:trPr/>
        <w:tc>
          <w:tcPr>
            <w:tcW w:w="43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Right-of-use assets under finance lease**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3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56,354,106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(18,235,145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38,118,961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3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(1,410,849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(1,410,849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2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movement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(6,399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(6,399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32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December 31, 2025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56,347,707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(19,645,994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36,701,713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Owned Vessel:</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On August 14, 2022, the Group took delivery of the Top Brilliance, a 2008-built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vessel of 56,823 dwt (Deadweight Tonnage), from an unrelated third party, for an acquisition cost of $14,094,790. Depreciation expense amounted to $433,273 and $433,273 for the six months ended December 31, 2025 and 2024.</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i w:val="false"/>
          <w:caps w:val="false"/>
          <w:smallCaps w:val="false"/>
          <w:sz w:val="18"/>
        </w:rPr>
        <w:t>**      Right-of-use</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i w:val="false"/>
          <w:caps w:val="false"/>
          <w:smallCaps w:val="false"/>
          <w:sz w:val="18"/>
        </w:rPr>
        <w:t>assets under finance lease: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 September, 2018, the Group took delivery of Top Diligence, a 2018-built</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Dry Cargo vessel of 48,500 dwt, for a 10-year</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bareboat charter-in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agreement. The bareboat charter-in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provides for purchase obligation with a bargain purchase price at the end of 10-year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charter period. The Group accounted for the vessel as finance lease and recorded right-of-use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assets of $26,821,639 and financing lease liabilities of $17,710,000 on the lease beginning date. (see Note 8)</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In January, 2019, the Group took delivery of Top Elegance, a 2019-built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Dry Cargo vessel of 48,500 dwt, for a 10-year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bareboat charter-in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agreement. The bareboat charter-in</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provides for purchase obligation with a bargain purchase price at the end of 10-year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charter period. The Group accounted for the vessel as finance lease and recorded right-of-use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8"/>
        </w:rPr>
        <w:t>assets of $27,275,307 and financing lease liabilities of $17,710,000 on the lease beginning date. (see Note 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 VESSELS, NET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As of June 30, 2024, the Group completed the installation of desulfurizing towers on Top Diligence and Top Elegance. The original value of $2,059,036 is depreciated during the useful life.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Depreciation expense for the vessels under finance lease was $1,410,849 and $1,419,778 for six months ended December 31, 2025 and 2024,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 SHORT TERM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June 30, 2025, the Group’s short-term investments are comprised of the following:</w:t>
      </w:r>
    </w:p>
    <w:tbl>
      <w:tblPr>
        <w:tblW w:w="5980" w:type="dxa"/>
        <w:jc w:val="left"/>
        <w:tblInd w:w="0" w:type="dxa"/>
        <w:tblLayout w:type="fixed"/>
        <w:tblCellMar>
          <w:top w:w="0" w:type="dxa"/>
          <w:left w:w="0" w:type="dxa"/>
          <w:bottom w:w="0" w:type="dxa"/>
          <w:right w:w="0" w:type="dxa"/>
        </w:tblCellMar>
      </w:tblPr>
      <w:tblGrid>
        <w:gridCol w:w="2476"/>
        <w:gridCol w:w="146"/>
        <w:gridCol w:w="675"/>
        <w:gridCol w:w="960"/>
        <w:gridCol w:w="146"/>
        <w:gridCol w:w="286"/>
        <w:gridCol w:w="1291"/>
      </w:tblGrid>
      <w:tr>
        <w:trPr/>
        <w:tc>
          <w:tcPr>
            <w:tcW w:w="24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24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investment fund</w:t>
            </w:r>
          </w:p>
        </w:tc>
        <w:tc>
          <w:tcPr>
            <w:tcW w:w="146"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10,300,869</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 2025, the Group paid $10,200,000 in cash to invest in private investment fund of Right Time SPC. The principal investment objective of the fund is to pursue returns by investing primarily in loans. The Group does not have the ability to exercise significant influence and elect to account for the investment under the NAV practical expedient. During the year ended June 30, 2025, the Group recognized a fair value gain of $100,869. As of June 30, 2025, the fair value of investments measured at net asset value was approximately $10,300,869. Subsequently in September and October 2025, the Group redeemed the investment and received net proceeds of $10,280,272 after deducting redemption fees and bank charges.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 ACCRUED EXPENSES AND OTHER LIABITIES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 consisted of the following:</w:t>
      </w:r>
    </w:p>
    <w:tbl>
      <w:tblPr>
        <w:tblW w:w="6220" w:type="dxa"/>
        <w:jc w:val="left"/>
        <w:tblInd w:w="0" w:type="dxa"/>
        <w:tblLayout w:type="fixed"/>
        <w:tblCellMar>
          <w:top w:w="0" w:type="dxa"/>
          <w:left w:w="0" w:type="dxa"/>
          <w:bottom w:w="0" w:type="dxa"/>
          <w:right w:w="0" w:type="dxa"/>
        </w:tblCellMar>
      </w:tblPr>
      <w:tblGrid>
        <w:gridCol w:w="2836"/>
        <w:gridCol w:w="146"/>
        <w:gridCol w:w="331"/>
        <w:gridCol w:w="1304"/>
        <w:gridCol w:w="146"/>
        <w:gridCol w:w="286"/>
        <w:gridCol w:w="1171"/>
      </w:tblGrid>
      <w:tr>
        <w:trPr/>
        <w:tc>
          <w:tcPr>
            <w:tcW w:w="28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Wages and welfare payable</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891,645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660,589</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 fees</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337,635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402,458</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9,465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50,056</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1,238,745</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1,113,103</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 LONG-TERM PAYABLE</w:t>
      </w:r>
    </w:p>
    <w:tbl>
      <w:tblPr>
        <w:tblW w:w="5980" w:type="dxa"/>
        <w:jc w:val="left"/>
        <w:tblInd w:w="0" w:type="dxa"/>
        <w:tblLayout w:type="fixed"/>
        <w:tblCellMar>
          <w:top w:w="0" w:type="dxa"/>
          <w:left w:w="0" w:type="dxa"/>
          <w:bottom w:w="0" w:type="dxa"/>
          <w:right w:w="0" w:type="dxa"/>
        </w:tblCellMar>
      </w:tblPr>
      <w:tblGrid>
        <w:gridCol w:w="2776"/>
        <w:gridCol w:w="146"/>
        <w:gridCol w:w="675"/>
        <w:gridCol w:w="960"/>
        <w:gridCol w:w="146"/>
        <w:gridCol w:w="286"/>
        <w:gridCol w:w="991"/>
      </w:tblGrid>
      <w:tr>
        <w:trPr/>
        <w:tc>
          <w:tcPr>
            <w:tcW w:w="27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27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 current</w:t>
            </w:r>
          </w:p>
        </w:tc>
        <w:tc>
          <w:tcPr>
            <w:tcW w:w="146"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507,479</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 represents the remaining balance for desulfurizing towers of Top Diligence and Top Elegance. which was fully paid off in current period.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 LEASES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lease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February, 2021, the Group took delivery of the Top Advancer, a 2016-built bulk carrier for a 59-month bareboat charter-in agreement. No purchase option or obligation clause is stipulated in the bareboat charter contract. The Group has performed an assessment considering the lease classification criteria under ASC 842 and concluded that the arrangement is an operating lease. Consequently, the Group has recognized an operating lease liability based on the net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 LEASES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value of the remaining charter-in payments based on rate at the lease commencement and an operating lease right-of-use asset at an amount equal to the operating liability adjusted for the carrying amount of the straight-line liability. Any changes resulted from the index or rate change is charged to expense during the period they occur.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cash paid for operating lease liabilities amounted to $1,708,380 and $1,682,250, respectively.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lease expenses for the six months ended December 31, 2025 and 2024 were as follows:</w:t>
      </w:r>
    </w:p>
    <w:tbl>
      <w:tblPr>
        <w:tblW w:w="6113" w:type="dxa"/>
        <w:jc w:val="left"/>
        <w:tblInd w:w="0" w:type="dxa"/>
        <w:tblLayout w:type="fixed"/>
        <w:tblCellMar>
          <w:top w:w="0" w:type="dxa"/>
          <w:left w:w="0" w:type="dxa"/>
          <w:bottom w:w="0" w:type="dxa"/>
          <w:right w:w="0" w:type="dxa"/>
        </w:tblCellMar>
      </w:tblPr>
      <w:tblGrid>
        <w:gridCol w:w="2506"/>
        <w:gridCol w:w="146"/>
        <w:gridCol w:w="331"/>
        <w:gridCol w:w="1304"/>
        <w:gridCol w:w="146"/>
        <w:gridCol w:w="329"/>
        <w:gridCol w:w="1351"/>
      </w:tblGrid>
      <w:tr>
        <w:trPr/>
        <w:tc>
          <w:tcPr>
            <w:tcW w:w="25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operating lease</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1,579,139</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1,579,139</w:t>
            </w:r>
          </w:p>
        </w:tc>
      </w:tr>
      <w:tr>
        <w:trPr/>
        <w:tc>
          <w:tcPr>
            <w:tcW w:w="2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operating lease</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129,241</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103,111</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expense</w:t>
            </w:r>
          </w:p>
        </w:tc>
        <w:tc>
          <w:tcPr>
            <w:tcW w:w="146" w:type="dxa"/>
            <w:tcBorders/>
            <w:shd w:fill="CCEEFF" w:val="clear"/>
            <w:vAlign w:val="bottom"/>
          </w:tcPr>
          <w:p>
            <w:pPr>
              <w:pStyle w:val="TableContents"/>
              <w:bidi w:val="0"/>
              <w:spacing w:before="0" w:after="283"/>
              <w:jc w:val="left"/>
              <w:rPr/>
            </w:pPr>
            <w:r>
              <w:rPr/>
              <w:t> </w:t>
            </w:r>
          </w:p>
        </w:tc>
        <w:tc>
          <w:tcPr>
            <w:tcW w:w="3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1,708,380</w:t>
            </w:r>
          </w:p>
        </w:tc>
        <w:tc>
          <w:tcPr>
            <w:tcW w:w="146" w:type="dxa"/>
            <w:tcBorders/>
            <w:shd w:fill="CCEEFF" w:val="clear"/>
            <w:vAlign w:val="bottom"/>
          </w:tcPr>
          <w:p>
            <w:pPr>
              <w:pStyle w:val="TableContents"/>
              <w:bidi w:val="0"/>
              <w:spacing w:before="0" w:after="283"/>
              <w:jc w:val="left"/>
              <w:rPr/>
            </w:pPr>
            <w:r>
              <w:rPr/>
              <w:t> </w:t>
            </w:r>
          </w:p>
        </w:tc>
        <w:tc>
          <w:tcPr>
            <w:tcW w:w="3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1,682,250</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variable operating lease expense depending on the BSI (Baltic Supramax index) published by the Baltic Exchange is measured on a monthly basis and recognized during the period in which it incurred.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balance sheet information related to operating lease was as follows:</w:t>
      </w:r>
    </w:p>
    <w:tbl>
      <w:tblPr>
        <w:tblW w:w="7420" w:type="dxa"/>
        <w:jc w:val="left"/>
        <w:tblInd w:w="0" w:type="dxa"/>
        <w:tblLayout w:type="fixed"/>
        <w:tblCellMar>
          <w:top w:w="0" w:type="dxa"/>
          <w:left w:w="0" w:type="dxa"/>
          <w:bottom w:w="0" w:type="dxa"/>
          <w:right w:w="0" w:type="dxa"/>
        </w:tblCellMar>
      </w:tblPr>
      <w:tblGrid>
        <w:gridCol w:w="4036"/>
        <w:gridCol w:w="146"/>
        <w:gridCol w:w="675"/>
        <w:gridCol w:w="960"/>
        <w:gridCol w:w="146"/>
        <w:gridCol w:w="286"/>
        <w:gridCol w:w="1171"/>
      </w:tblGrid>
      <w:tr>
        <w:trPr/>
        <w:tc>
          <w:tcPr>
            <w:tcW w:w="40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4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assets-operating lease, net</w:t>
            </w:r>
          </w:p>
        </w:tc>
        <w:tc>
          <w:tcPr>
            <w:tcW w:w="146"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1,560,385</w:t>
            </w:r>
          </w:p>
        </w:tc>
      </w:tr>
      <w:tr>
        <w:trPr/>
        <w:tc>
          <w:tcPr>
            <w:tcW w:w="40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current</w:t>
            </w:r>
          </w:p>
        </w:tc>
        <w:tc>
          <w:tcPr>
            <w:tcW w:w="146" w:type="dxa"/>
            <w:tcBorders/>
            <w:vAlign w:val="bottom"/>
          </w:tcPr>
          <w:p>
            <w:pPr>
              <w:pStyle w:val="TableContents"/>
              <w:bidi w:val="0"/>
              <w:spacing w:before="0" w:after="283"/>
              <w:jc w:val="left"/>
              <w:rPr/>
            </w:pPr>
            <w:r>
              <w:rPr/>
              <w:t> </w:t>
            </w:r>
          </w:p>
        </w:tc>
        <w:tc>
          <w:tcPr>
            <w:tcW w:w="6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1,437,353</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remaining lease terms and discount rate for operating lease were as follows as of December 31, 2025 and June 30, 2025:</w:t>
      </w:r>
    </w:p>
    <w:tbl>
      <w:tblPr>
        <w:tblW w:w="8140" w:type="dxa"/>
        <w:jc w:val="left"/>
        <w:tblInd w:w="0" w:type="dxa"/>
        <w:tblLayout w:type="fixed"/>
        <w:tblCellMar>
          <w:top w:w="0" w:type="dxa"/>
          <w:left w:w="0" w:type="dxa"/>
          <w:bottom w:w="0" w:type="dxa"/>
          <w:right w:w="0" w:type="dxa"/>
        </w:tblCellMar>
      </w:tblPr>
      <w:tblGrid>
        <w:gridCol w:w="4816"/>
        <w:gridCol w:w="146"/>
        <w:gridCol w:w="882"/>
        <w:gridCol w:w="753"/>
        <w:gridCol w:w="146"/>
        <w:gridCol w:w="1066"/>
        <w:gridCol w:w="331"/>
      </w:tblGrid>
      <w:tr>
        <w:trPr/>
        <w:tc>
          <w:tcPr>
            <w:tcW w:w="48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Remaining lease term and discount rate:</w:t>
            </w:r>
          </w:p>
        </w:tc>
        <w:tc>
          <w:tcPr>
            <w:tcW w:w="146"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left"/>
              <w:rPr/>
            </w:pPr>
            <w:r>
              <w:rPr/>
              <w:t> </w:t>
            </w:r>
          </w:p>
        </w:tc>
        <w:tc>
          <w:tcPr>
            <w:tcW w:w="75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(years)</w:t>
            </w:r>
          </w:p>
        </w:tc>
        <w:tc>
          <w:tcPr>
            <w:tcW w:w="146" w:type="dxa"/>
            <w:tcBorders/>
            <w:vAlign w:val="bottom"/>
          </w:tcPr>
          <w:p>
            <w:pPr>
              <w:pStyle w:val="TableContents"/>
              <w:bidi w:val="0"/>
              <w:spacing w:before="0" w:after="283"/>
              <w:jc w:val="left"/>
              <w:rPr/>
            </w:pPr>
            <w:r>
              <w:rPr/>
              <w:t> </w:t>
            </w:r>
          </w:p>
        </w:tc>
        <w:tc>
          <w:tcPr>
            <w:tcW w:w="88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7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 years</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75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3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Short-term operating lease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leased office space from a related party with fixed lease term of 1 year with no purchase or renew option. The Group elects not to apply the recognition requirements in ASC 842 to short-term leases and recognizes the lease payments in profit or loss on a straight-line basis over the lease term. Short-term lease expense amounted to nil and $13,795 for the six months ended December 31, 2025 and 2024.</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leases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2018, the Group took delivery of Top Diligence, a 2018-built Dry Cargo vessel of 48,500 dwt, for a 10-year bareboat charter-in agreement with Topsheen Shipping Group Limited (a related party, see Note 11). The bareboat charter-in provides for purchase obligation with a bargain purchase price at the end of 10-year charter period.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 LEASES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performed an assessment for Top Diligence considering the lease classification criteria under ASC 842 and concluded that the arrangement is a finance lease. Consequently, the Group has recognized vessel, net and a finance lease liability based on the net present value of the remaining charter-in payments including the purchase option to acquire the vessel at the end of the lease period, discounted by the rate implicit in the lease (7.4%). As of December 31, 2025 and June 30,2025, the outstanding balance of lease liabilities was $5,890,260 and $6,739,912, respectively, and is repayable in 32 months and 38 months in consecutive monthly installments, with an estimated purchase option of $1,490,000.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2019, the Group took delivery of Top Elegance, a 2019-built Dry Cargo vessel of 48,500 dwt, for a 10-year bareboat charter-in agreement with Topsheen Shipping Group Limited (a related party, see Note 11). The bareboat charter-in provides for purchase obligation with a bargain purchase price at the end of 10-year charter period. The Group has performed an assessment for Top Elegance considering the lease classification criteria under ASC 842 and concluded that the arrangement is a finance lease. Consequently, the Group has recognized a finance lease liability based on the net present value of the remaining charter-in payments including the purchase option to acquire the vessel at the end of the lease period, discounted by the rate implicit in the lease (7.8%). As of December 31, 2025 and June 30, 2025, the outstanding balance of lease liabilities was $6,424,623 and $7,275,788, respectively, and is repayable in 42 months in consecutive monthly installments, with an estimated purchase option of $1,490,000.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amount of financing lease expense, including amortization and interest expenses recognized in the unaudited condensed consolidated statements of income for the six months ended December 31, 2025 and 2024 were as follows:</w:t>
      </w:r>
    </w:p>
    <w:tbl>
      <w:tblPr>
        <w:tblW w:w="6338" w:type="dxa"/>
        <w:jc w:val="left"/>
        <w:tblInd w:w="0" w:type="dxa"/>
        <w:tblLayout w:type="fixed"/>
        <w:tblCellMar>
          <w:top w:w="0" w:type="dxa"/>
          <w:left w:w="0" w:type="dxa"/>
          <w:bottom w:w="0" w:type="dxa"/>
          <w:right w:w="0" w:type="dxa"/>
        </w:tblCellMar>
      </w:tblPr>
      <w:tblGrid>
        <w:gridCol w:w="2731"/>
        <w:gridCol w:w="146"/>
        <w:gridCol w:w="331"/>
        <w:gridCol w:w="1304"/>
        <w:gridCol w:w="146"/>
        <w:gridCol w:w="329"/>
        <w:gridCol w:w="1351"/>
      </w:tblGrid>
      <w:tr>
        <w:trPr/>
        <w:tc>
          <w:tcPr>
            <w:tcW w:w="27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expenses</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1,160,698</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1,352,424</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expenses-fixed</w:t>
            </w:r>
          </w:p>
        </w:tc>
        <w:tc>
          <w:tcPr>
            <w:tcW w:w="146" w:type="dxa"/>
            <w:tcBorders/>
            <w:vAlign w:val="bottom"/>
          </w:tcPr>
          <w:p>
            <w:pPr>
              <w:pStyle w:val="TableContents"/>
              <w:bidi w:val="0"/>
              <w:spacing w:before="0" w:after="283"/>
              <w:jc w:val="left"/>
              <w:rPr/>
            </w:pPr>
            <w:r>
              <w:rPr/>
              <w:t> </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505,272</w:t>
            </w:r>
          </w:p>
        </w:tc>
        <w:tc>
          <w:tcPr>
            <w:tcW w:w="146" w:type="dxa"/>
            <w:tcBorders/>
            <w:vAlign w:val="bottom"/>
          </w:tcPr>
          <w:p>
            <w:pPr>
              <w:pStyle w:val="TableContents"/>
              <w:bidi w:val="0"/>
              <w:spacing w:before="0" w:after="283"/>
              <w:jc w:val="left"/>
              <w:rPr/>
            </w:pPr>
            <w:r>
              <w:rPr/>
              <w:t> </w:t>
            </w:r>
          </w:p>
        </w:tc>
        <w:tc>
          <w:tcPr>
            <w:tcW w:w="3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629,263</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expenses-variable</w:t>
            </w:r>
          </w:p>
        </w:tc>
        <w:tc>
          <w:tcPr>
            <w:tcW w:w="14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134,236</w:t>
            </w:r>
          </w:p>
        </w:tc>
        <w:tc>
          <w:tcPr>
            <w:tcW w:w="146"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277,905</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0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1,800,206</w:t>
            </w:r>
          </w:p>
        </w:tc>
        <w:tc>
          <w:tcPr>
            <w:tcW w:w="146" w:type="dxa"/>
            <w:tcBorders/>
            <w:vAlign w:val="bottom"/>
          </w:tcPr>
          <w:p>
            <w:pPr>
              <w:pStyle w:val="TableContents"/>
              <w:bidi w:val="0"/>
              <w:spacing w:before="0" w:after="283"/>
              <w:jc w:val="left"/>
              <w:rPr/>
            </w:pPr>
            <w:r>
              <w:rPr/>
              <w:t> </w:t>
            </w:r>
          </w:p>
        </w:tc>
        <w:tc>
          <w:tcPr>
            <w:tcW w:w="32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2,259,592</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variable interest expenses depending on LIBOR (later replaced by SOFR) are measured on a monthly basis and recognized during the period in which they are incurred.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balance sheet information related to financing leases was as follows:</w:t>
      </w:r>
    </w:p>
    <w:tbl>
      <w:tblPr>
        <w:tblW w:w="10205" w:type="dxa"/>
        <w:jc w:val="left"/>
        <w:tblInd w:w="0" w:type="dxa"/>
        <w:tblLayout w:type="fixed"/>
        <w:tblCellMar>
          <w:top w:w="0" w:type="dxa"/>
          <w:left w:w="0" w:type="dxa"/>
          <w:bottom w:w="0" w:type="dxa"/>
          <w:right w:w="0" w:type="dxa"/>
        </w:tblCellMar>
      </w:tblPr>
      <w:tblGrid>
        <w:gridCol w:w="6711"/>
        <w:gridCol w:w="146"/>
        <w:gridCol w:w="303"/>
        <w:gridCol w:w="1321"/>
        <w:gridCol w:w="146"/>
        <w:gridCol w:w="286"/>
        <w:gridCol w:w="1292"/>
      </w:tblGrid>
      <w:tr>
        <w:trPr/>
        <w:tc>
          <w:tcPr>
            <w:tcW w:w="67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2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57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6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assets-financing lease, net (included in Vessels, net, see Note 4)</w:t>
            </w:r>
          </w:p>
        </w:tc>
        <w:tc>
          <w:tcPr>
            <w:tcW w:w="146" w:type="dxa"/>
            <w:tcBorders/>
            <w:shd w:fill="CCEEFF" w:val="clear"/>
            <w:vAlign w:val="bottom"/>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36,701,714</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38,118,961</w:t>
            </w:r>
          </w:p>
        </w:tc>
      </w:tr>
      <w:tr>
        <w:trPr/>
        <w:tc>
          <w:tcPr>
            <w:tcW w:w="6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 current</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3,279,203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3,338,390</w:t>
            </w:r>
          </w:p>
        </w:tc>
      </w:tr>
      <w:tr>
        <w:trPr/>
        <w:tc>
          <w:tcPr>
            <w:tcW w:w="6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 non-current</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9,035,680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10,677,310</w:t>
            </w:r>
          </w:p>
        </w:tc>
      </w:tr>
      <w:tr>
        <w:trPr/>
        <w:tc>
          <w:tcPr>
            <w:tcW w:w="6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financing lease liabilities</w:t>
            </w:r>
          </w:p>
        </w:tc>
        <w:tc>
          <w:tcPr>
            <w:tcW w:w="146" w:type="dxa"/>
            <w:tcBorders/>
            <w:vAlign w:val="bottom"/>
          </w:tcPr>
          <w:p>
            <w:pPr>
              <w:pStyle w:val="TableContents"/>
              <w:bidi w:val="0"/>
              <w:spacing w:before="0" w:after="283"/>
              <w:jc w:val="left"/>
              <w:rPr/>
            </w:pPr>
            <w:r>
              <w:rPr/>
              <w:t> </w:t>
            </w:r>
          </w:p>
        </w:tc>
        <w:tc>
          <w:tcPr>
            <w:tcW w:w="30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12,314,883</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14,015,700</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remaining lease terms and discount rates for financing leases were as follows as of December 31, 2025 and June 30, 2025:</w:t>
      </w:r>
    </w:p>
    <w:tbl>
      <w:tblPr>
        <w:tblW w:w="8266" w:type="dxa"/>
        <w:jc w:val="left"/>
        <w:tblInd w:w="0" w:type="dxa"/>
        <w:tblLayout w:type="fixed"/>
        <w:tblCellMar>
          <w:top w:w="0" w:type="dxa"/>
          <w:left w:w="0" w:type="dxa"/>
          <w:bottom w:w="0" w:type="dxa"/>
          <w:right w:w="0" w:type="dxa"/>
        </w:tblCellMar>
      </w:tblPr>
      <w:tblGrid>
        <w:gridCol w:w="4816"/>
        <w:gridCol w:w="146"/>
        <w:gridCol w:w="1186"/>
        <w:gridCol w:w="455"/>
        <w:gridCol w:w="146"/>
        <w:gridCol w:w="1186"/>
        <w:gridCol w:w="331"/>
      </w:tblGrid>
      <w:tr>
        <w:trPr/>
        <w:tc>
          <w:tcPr>
            <w:tcW w:w="48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Remaining lease term and discount rate:</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(years)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 years</w:t>
            </w:r>
          </w:p>
        </w:tc>
        <w:tc>
          <w:tcPr>
            <w:tcW w:w="4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 years</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w:t>
            </w:r>
          </w:p>
        </w:tc>
        <w:tc>
          <w:tcPr>
            <w:tcW w:w="455"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w:t>
            </w:r>
          </w:p>
        </w:tc>
        <w:tc>
          <w:tcPr>
            <w:tcW w:w="3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8 — LEASES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schedule of maturities of financing lease liabilities (excluding variable payments) as of December 31, 2025:</w:t>
      </w:r>
    </w:p>
    <w:tbl>
      <w:tblPr>
        <w:tblW w:w="5609" w:type="dxa"/>
        <w:jc w:val="left"/>
        <w:tblInd w:w="0" w:type="dxa"/>
        <w:tblLayout w:type="fixed"/>
        <w:tblCellMar>
          <w:top w:w="0" w:type="dxa"/>
          <w:left w:w="0" w:type="dxa"/>
          <w:bottom w:w="0" w:type="dxa"/>
          <w:right w:w="0" w:type="dxa"/>
        </w:tblCellMar>
      </w:tblPr>
      <w:tblGrid>
        <w:gridCol w:w="3886"/>
        <w:gridCol w:w="146"/>
        <w:gridCol w:w="286"/>
        <w:gridCol w:w="1291"/>
      </w:tblGrid>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period ending June 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2,080,635</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June 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3,986,356</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3,753,139</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4,182,754</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lease payments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14,002,884</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1,688,001</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value of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12,314,883</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 LONG-TERM LOAN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 consists of the following:</w:t>
      </w:r>
    </w:p>
    <w:tbl>
      <w:tblPr>
        <w:tblW w:w="10205" w:type="dxa"/>
        <w:jc w:val="left"/>
        <w:tblInd w:w="0" w:type="dxa"/>
        <w:tblLayout w:type="fixed"/>
        <w:tblCellMar>
          <w:top w:w="0" w:type="dxa"/>
          <w:left w:w="0" w:type="dxa"/>
          <w:bottom w:w="0" w:type="dxa"/>
          <w:right w:w="0" w:type="dxa"/>
        </w:tblCellMar>
      </w:tblPr>
      <w:tblGrid>
        <w:gridCol w:w="6836"/>
        <w:gridCol w:w="146"/>
        <w:gridCol w:w="327"/>
        <w:gridCol w:w="1291"/>
        <w:gridCol w:w="146"/>
        <w:gridCol w:w="286"/>
        <w:gridCol w:w="1173"/>
      </w:tblGrid>
      <w:tr>
        <w:trPr/>
        <w:tc>
          <w:tcPr>
            <w:tcW w:w="68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1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45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6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Chailease International Financial Services (Singapore) Pte. Ltd. (due on August 8, 2027)</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2,101,891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2,908,945</w:t>
            </w:r>
          </w:p>
        </w:tc>
      </w:tr>
      <w:tr>
        <w:trPr/>
        <w:tc>
          <w:tcPr>
            <w:tcW w:w="6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2,101,891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2,908,945</w:t>
            </w:r>
          </w:p>
        </w:tc>
      </w:tr>
      <w:tr>
        <w:trPr/>
        <w:tc>
          <w:tcPr>
            <w:tcW w:w="6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Long-term loan – current portion</w:t>
            </w:r>
          </w:p>
        </w:tc>
        <w:tc>
          <w:tcPr>
            <w:tcW w:w="146"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1,445,984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1,656,288</w:t>
            </w:r>
          </w:p>
        </w:tc>
      </w:tr>
      <w:tr>
        <w:trPr/>
        <w:tc>
          <w:tcPr>
            <w:tcW w:w="6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 – non-current portion</w:t>
            </w:r>
          </w:p>
        </w:tc>
        <w:tc>
          <w:tcPr>
            <w:tcW w:w="146" w:type="dxa"/>
            <w:tcBorders/>
            <w:vAlign w:val="bottom"/>
          </w:tcPr>
          <w:p>
            <w:pPr>
              <w:pStyle w:val="TableContents"/>
              <w:bidi w:val="0"/>
              <w:spacing w:before="0" w:after="283"/>
              <w:jc w:val="left"/>
              <w:rPr/>
            </w:pPr>
            <w:r>
              <w:rPr/>
              <w:t> </w:t>
            </w:r>
          </w:p>
        </w:tc>
        <w:tc>
          <w:tcPr>
            <w:tcW w:w="32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655,907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1,252,657</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3, 2022, the Group entered into a loan agreement with Chailease International Financial Services (Singapore) Pte. Ltd. to borrow $9,500,000. The loan bears an annual interest rate of Benchmark Rate plus 4.16%. Pursuant to a supplemental agreement, the Benchmark Rate — London Interbank Offered Rate(“LIBOR”) was replaced by the secured overnight financing rate published by CME Group (“CME TERM OF SOFR”) effective on April 8, 2023. Debt issuance cost of $230,500 was deferred and amortized through the loan period using effective interest rate method. A security deposit of $475,000 was deposited with the lender. The loan is guaranteed by Topsheen Shipping Singapore Pte. Ltd., shareholders and affiliates (related parties, see Note 11). The Group is required to repay monthly installments comprising principal and interest thereafter. In April 2024, the Company and the Lender entered into an amendment that the Company can repay US$1 million in advance with the updated payment schedule in the remaining period. The voluntary prepayment fee is 2% of the prepayment amount, which is US$20,000.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repayment schedule for the loan are as follows:</w:t>
      </w:r>
    </w:p>
    <w:tbl>
      <w:tblPr>
        <w:tblW w:w="5625" w:type="dxa"/>
        <w:jc w:val="left"/>
        <w:tblInd w:w="0" w:type="dxa"/>
        <w:tblLayout w:type="fixed"/>
        <w:tblCellMar>
          <w:top w:w="0" w:type="dxa"/>
          <w:left w:w="0" w:type="dxa"/>
          <w:bottom w:w="0" w:type="dxa"/>
          <w:right w:w="0" w:type="dxa"/>
        </w:tblCellMar>
      </w:tblPr>
      <w:tblGrid>
        <w:gridCol w:w="3781"/>
        <w:gridCol w:w="146"/>
        <w:gridCol w:w="286"/>
        <w:gridCol w:w="1126"/>
        <w:gridCol w:w="286"/>
      </w:tblGrid>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period ending June 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828,144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ending June 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1,130,492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2,129,520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unamortized debt issuance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(27,629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2,101,891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 CONVERTIBLE NOTES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4, 2025, the Company entered into a Securities Purchase Agreement (the “Purchase Agreement”) with Streeterville Capital, LLC, a Utah limited liability company (the “Investor”). Pursuant to the Purchase Agreement, the Investor agreed to purchase from the Company, and the Company agreed to issue and sell to the Investor, (i) securities in the form of one or more pre-paid purchases (each, a “Pre-Paid Purchase” and collectively, the “Pre-Paid Purchases”) in the aggregate purchase amount of up to $10,000,000 (the “Commitment Amount”), for the purchase of Class A ordinary shares, par value $0.0025 per share, of Company (the “Ordinary Shares”), upon the terms and subject to the limitations and conditions set forth in such Pre-Paid Purchase; (ii) 3,419 Class A Ordinary Shares as a commitment fee for the Pre-Paid Purchase facility set forth in the Purchase Agreement (the “Commitment Shares”); and (iii) 102,200 Class A Ordinary Shares to be used as pre-delivery shares (the “Pre-Delivery Shares”) on September 9, 2025 (the “Closing Date”). The Purchase Agreement provides for an initial Pre-Paid Purchase in the principal amount of $2,175,000, before deducting an original issue discount (the “OID”) of $160,000 and a transaction expense amount of $15,000 (the “Initial Pre-Paid Purchase”). The Company received net proceeds of $2,000,000 on September 10, 2025. The Commitment Shares and the Pre-Delivery Shares were issued to the investor on September 9, 2025. The OID for each subsequent Pre-Paid Purchase after the Initial Pre-Paid Purchase will be eight percent (8%) of the amount set forth in the applicable Request (as defined in the Purchase Agreement) and each subsequent Pre-Paid Purchase will accrue interest at the rate of six percent (6%) per annum. In addition, Investor also paid $255.50 to Company for the Pre-Delivery Shares. The initial Pre-Paid Purchase may be settled, at the Investor’s discretion, in Ordinary Shares valued at 82.5% of the lowest daily volume-weighted average price (VWAP) during the ten (10) trading days prior to each Purchase Notice Date (as defined in the Purchase Agreement). The Company may not issue shares that would cause the Investor to beneficially own more than 9.99% of the Company’s outstanding Ordinary Shares at any time. The Company accounted for the convertible debt as a single instrument in accordance with ASC 470-20, measured at its amortized cost on the consolidated balance sheets. In accordance with ASC470-20-25-20A, the fair value of the Pre-delivery shares (102,200 Class A ordinary share) shall be recorded as an issuance cost to the Convertible note (with the fair value of the Pre-Delivery Shares limited to the net proceeds from the issuance convertible note).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issued 16,763 Class A Ordinary Shares to the Investor on December 2, 2025 in conversion of $275,000 convertible note balance.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convertible note accounted for at amortized cost as of December 31, 2025 consisted of following:</w:t>
      </w:r>
    </w:p>
    <w:tbl>
      <w:tblPr>
        <w:tblW w:w="9585" w:type="dxa"/>
        <w:jc w:val="left"/>
        <w:tblInd w:w="0" w:type="dxa"/>
        <w:tblLayout w:type="fixed"/>
        <w:tblCellMar>
          <w:top w:w="0" w:type="dxa"/>
          <w:left w:w="0" w:type="dxa"/>
          <w:bottom w:w="0" w:type="dxa"/>
          <w:right w:w="0" w:type="dxa"/>
        </w:tblCellMar>
      </w:tblPr>
      <w:tblGrid>
        <w:gridCol w:w="7666"/>
        <w:gridCol w:w="146"/>
        <w:gridCol w:w="286"/>
        <w:gridCol w:w="1201"/>
        <w:gridCol w:w="286"/>
      </w:tblGrid>
      <w:tr>
        <w:trPr/>
        <w:tc>
          <w:tcPr>
            <w:tcW w:w="76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r>
      <w:tr>
        <w:trPr/>
        <w:tc>
          <w:tcPr>
            <w:tcW w:w="7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note principal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2,175,000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OID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for Pre-Delivery Shares related to the issuance of Convertible Note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interests for Convertible debt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392,605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76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Conversion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6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117,605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 RELATED PARTY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records transactions with various related parties. These related parties’ balances as of December 31, 2025 and June 30, 2025 and transactions for the six months ended December 31, 2025 and 2024 are identified as follows: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Related parties with transactions and related party relationships</w:t>
      </w:r>
    </w:p>
    <w:tbl>
      <w:tblPr>
        <w:tblW w:w="10205" w:type="dxa"/>
        <w:jc w:val="left"/>
        <w:tblInd w:w="0" w:type="dxa"/>
        <w:tblLayout w:type="fixed"/>
        <w:tblCellMar>
          <w:top w:w="0" w:type="dxa"/>
          <w:left w:w="0" w:type="dxa"/>
          <w:bottom w:w="0" w:type="dxa"/>
          <w:right w:w="0" w:type="dxa"/>
        </w:tblCellMar>
      </w:tblPr>
      <w:tblGrid>
        <w:gridCol w:w="3854"/>
        <w:gridCol w:w="146"/>
        <w:gridCol w:w="6205"/>
      </w:tblGrid>
      <w:tr>
        <w:trPr/>
        <w:tc>
          <w:tcPr>
            <w:tcW w:w="38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Related Party</w:t>
            </w:r>
          </w:p>
        </w:tc>
        <w:tc>
          <w:tcPr>
            <w:tcW w:w="146" w:type="dxa"/>
            <w:tcBorders/>
            <w:vAlign w:val="bottom"/>
          </w:tcPr>
          <w:p>
            <w:pPr>
              <w:pStyle w:val="TableContents"/>
              <w:bidi w:val="0"/>
              <w:spacing w:before="0" w:after="283"/>
              <w:jc w:val="left"/>
              <w:rPr/>
            </w:pPr>
            <w:r>
              <w:rPr/>
              <w:t> </w:t>
            </w:r>
          </w:p>
        </w:tc>
        <w:tc>
          <w:tcPr>
            <w:tcW w:w="620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to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Shoucheng Lei</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of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 Ms. Luan Chen and Mr. Jun Li, shareholders of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Rui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bulk Singapore Pte.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Xun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Nanjing Top Confidence Marine Management Co.,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Dong Zhang</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Family member of Mr. Jun Li</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Qing Xu</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Family member of Ms. Luan Chen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Corporation Shipping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Accounts receivable-related parties</w:t>
      </w:r>
    </w:p>
    <w:tbl>
      <w:tblPr>
        <w:tblW w:w="7510" w:type="dxa"/>
        <w:jc w:val="left"/>
        <w:tblInd w:w="0" w:type="dxa"/>
        <w:tblLayout w:type="fixed"/>
        <w:tblCellMar>
          <w:top w:w="0" w:type="dxa"/>
          <w:left w:w="0" w:type="dxa"/>
          <w:bottom w:w="0" w:type="dxa"/>
          <w:right w:w="0" w:type="dxa"/>
        </w:tblCellMar>
      </w:tblPr>
      <w:tblGrid>
        <w:gridCol w:w="4126"/>
        <w:gridCol w:w="146"/>
        <w:gridCol w:w="471"/>
        <w:gridCol w:w="1164"/>
        <w:gridCol w:w="146"/>
        <w:gridCol w:w="286"/>
        <w:gridCol w:w="1171"/>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br/>
              <w:t xml:space="preserve">June 30, </w:t>
              <w:br/>
              <w:t>2025</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616,279</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Limited(2)</w:t>
            </w:r>
          </w:p>
        </w:tc>
        <w:tc>
          <w:tcPr>
            <w:tcW w:w="146"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6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143,277</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Limited(2)</w:t>
            </w:r>
          </w:p>
        </w:tc>
        <w:tc>
          <w:tcPr>
            <w:tcW w:w="146" w:type="dxa"/>
            <w:tcBorders/>
            <w:shd w:fill="CCEEFF" w:val="clear"/>
            <w:vAlign w:val="bottom"/>
          </w:tcPr>
          <w:p>
            <w:pPr>
              <w:pStyle w:val="TableContents"/>
              <w:bidi w:val="0"/>
              <w:spacing w:before="0" w:after="283"/>
              <w:jc w:val="left"/>
              <w:rPr/>
            </w:pPr>
            <w:r>
              <w:rPr/>
              <w:t> </w:t>
            </w:r>
          </w:p>
        </w:tc>
        <w:tc>
          <w:tcPr>
            <w:tcW w:w="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159,638</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Limited(2)</w:t>
            </w:r>
          </w:p>
        </w:tc>
        <w:tc>
          <w:tcPr>
            <w:tcW w:w="146" w:type="dxa"/>
            <w:tcBorders/>
            <w:vAlign w:val="bottom"/>
          </w:tcPr>
          <w:p>
            <w:pPr>
              <w:pStyle w:val="TableContents"/>
              <w:bidi w:val="0"/>
              <w:spacing w:before="0" w:after="283"/>
              <w:jc w:val="left"/>
              <w:rPr/>
            </w:pPr>
            <w:r>
              <w:rPr/>
              <w:t> </w:t>
            </w:r>
          </w:p>
        </w:tc>
        <w:tc>
          <w:tcPr>
            <w:tcW w:w="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6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99,121</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1,018,315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(1)      The balance mainly represented consideration for time charter accounts receivable from Topsheen Shipping Singapore Pte. Ltd, which was collected in current period.</w:t>
      </w:r>
    </w:p>
    <w:p>
      <w:pPr>
        <w:pStyle w:val="TextBody"/>
        <w:keepNext w:val="false"/>
        <w:pageBreakBefore w:val="false"/>
        <w:widowControl/>
        <w:pBdr/>
        <w:bidi w:val="0"/>
        <w:spacing w:before="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(2)      The balance represents the accrued management fees from related parties for vessel management services, which was partially collected in current period.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Contract liabilities-related party</w:t>
      </w:r>
    </w:p>
    <w:tbl>
      <w:tblPr>
        <w:tblW w:w="7330" w:type="dxa"/>
        <w:jc w:val="left"/>
        <w:tblInd w:w="0" w:type="dxa"/>
        <w:tblLayout w:type="fixed"/>
        <w:tblCellMar>
          <w:top w:w="0" w:type="dxa"/>
          <w:left w:w="0" w:type="dxa"/>
          <w:bottom w:w="0" w:type="dxa"/>
          <w:right w:w="0" w:type="dxa"/>
        </w:tblCellMar>
      </w:tblPr>
      <w:tblGrid>
        <w:gridCol w:w="4126"/>
        <w:gridCol w:w="146"/>
        <w:gridCol w:w="378"/>
        <w:gridCol w:w="1257"/>
        <w:gridCol w:w="146"/>
        <w:gridCol w:w="286"/>
        <w:gridCol w:w="991"/>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497,360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433,125</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represents the advance charter hire payments from Topsheen Shipping Singapore Pte. Ltd.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Due from 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June 30, 2025, the balances due to related parties were as follows:</w:t>
      </w:r>
    </w:p>
    <w:tbl>
      <w:tblPr>
        <w:tblW w:w="7270" w:type="dxa"/>
        <w:jc w:val="left"/>
        <w:tblInd w:w="0" w:type="dxa"/>
        <w:tblLayout w:type="fixed"/>
        <w:tblCellMar>
          <w:top w:w="0" w:type="dxa"/>
          <w:left w:w="0" w:type="dxa"/>
          <w:bottom w:w="0" w:type="dxa"/>
          <w:right w:w="0" w:type="dxa"/>
        </w:tblCellMar>
      </w:tblPr>
      <w:tblGrid>
        <w:gridCol w:w="4066"/>
        <w:gridCol w:w="146"/>
        <w:gridCol w:w="378"/>
        <w:gridCol w:w="1257"/>
        <w:gridCol w:w="146"/>
        <w:gridCol w:w="286"/>
        <w:gridCol w:w="991"/>
      </w:tblGrid>
      <w:tr>
        <w:trPr/>
        <w:tc>
          <w:tcPr>
            <w:tcW w:w="40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40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5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412,873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331,948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represents the outstanding bunker receivable from Topsheen Shipping Singapore Pte. Ltd for time charter service provided by the Group.</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Due to 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June 30, 2025, the balances due to related parties were as follows:</w:t>
      </w:r>
    </w:p>
    <w:tbl>
      <w:tblPr>
        <w:tblW w:w="9055" w:type="dxa"/>
        <w:jc w:val="left"/>
        <w:tblInd w:w="0" w:type="dxa"/>
        <w:tblLayout w:type="fixed"/>
        <w:tblCellMar>
          <w:top w:w="0" w:type="dxa"/>
          <w:left w:w="0" w:type="dxa"/>
          <w:bottom w:w="0" w:type="dxa"/>
          <w:right w:w="0" w:type="dxa"/>
        </w:tblCellMar>
      </w:tblPr>
      <w:tblGrid>
        <w:gridCol w:w="5551"/>
        <w:gridCol w:w="146"/>
        <w:gridCol w:w="305"/>
        <w:gridCol w:w="1330"/>
        <w:gridCol w:w="146"/>
        <w:gridCol w:w="286"/>
        <w:gridCol w:w="1291"/>
      </w:tblGrid>
      <w:tr>
        <w:trPr/>
        <w:tc>
          <w:tcPr>
            <w:tcW w:w="55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December 31, </w:t>
              <w:br/>
              <w:t>2025</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Limited(1)</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36,584</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Nanjing Top Confidence Marine Management Co., Ltd(1)</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8,710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14,381</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shareholder and affiliate(2)</w:t>
            </w:r>
          </w:p>
        </w:tc>
        <w:tc>
          <w:tcPr>
            <w:tcW w:w="146"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21,476,946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24,490,720</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c>
          <w:tcPr>
            <w:tcW w:w="146" w:type="dxa"/>
            <w:tcBorders/>
            <w:vAlign w:val="bottom"/>
          </w:tcPr>
          <w:p>
            <w:pPr>
              <w:pStyle w:val="TableContents"/>
              <w:bidi w:val="0"/>
              <w:spacing w:before="0" w:after="283"/>
              <w:jc w:val="left"/>
              <w:rPr/>
            </w:pPr>
            <w:r>
              <w:rPr/>
              <w:t> </w:t>
            </w:r>
          </w:p>
        </w:tc>
        <w:tc>
          <w:tcPr>
            <w:tcW w:w="30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11,546</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30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3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21,502,619</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24,553,231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balances mainly represented the expenses paid on behalf of the Group.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balances mainly represented non-interest-bearing loans from Mr. Shoucheng Lei and due on demand. During the six months end December 31, 2025, the Group repaid $3,000,000 of these loans to Mr. Shoucheng Lei.</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Services provided to related parties</w:t>
      </w:r>
    </w:p>
    <w:tbl>
      <w:tblPr>
        <w:tblW w:w="10205" w:type="dxa"/>
        <w:jc w:val="left"/>
        <w:tblInd w:w="0" w:type="dxa"/>
        <w:tblLayout w:type="fixed"/>
        <w:tblCellMar>
          <w:top w:w="0" w:type="dxa"/>
          <w:left w:w="0" w:type="dxa"/>
          <w:bottom w:w="0" w:type="dxa"/>
          <w:right w:w="0" w:type="dxa"/>
        </w:tblCellMar>
      </w:tblPr>
      <w:tblGrid>
        <w:gridCol w:w="6638"/>
        <w:gridCol w:w="146"/>
        <w:gridCol w:w="301"/>
        <w:gridCol w:w="1313"/>
        <w:gridCol w:w="146"/>
        <w:gridCol w:w="299"/>
        <w:gridCol w:w="1362"/>
      </w:tblGrid>
      <w:tr>
        <w:trPr/>
        <w:tc>
          <w:tcPr>
            <w:tcW w:w="66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r>
      <w:tr>
        <w:trPr/>
        <w:tc>
          <w:tcPr>
            <w:tcW w:w="66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 (Time charter &amp; Vessel management services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9,250,107</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9,430,014</w:t>
            </w:r>
          </w:p>
        </w:tc>
      </w:tr>
      <w:tr>
        <w:trPr/>
        <w:tc>
          <w:tcPr>
            <w:tcW w:w="66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 (Vessel management services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699,582</w:t>
            </w:r>
          </w:p>
        </w:tc>
        <w:tc>
          <w:tcPr>
            <w:tcW w:w="146" w:type="dxa"/>
            <w:tcBorders/>
            <w:vAlign w:val="bottom"/>
          </w:tcPr>
          <w:p>
            <w:pPr>
              <w:pStyle w:val="TableContents"/>
              <w:bidi w:val="0"/>
              <w:spacing w:before="0" w:after="283"/>
              <w:jc w:val="left"/>
              <w:rPr/>
            </w:pPr>
            <w:r>
              <w:rPr/>
              <w:t> </w:t>
            </w:r>
          </w:p>
        </w:tc>
        <w:tc>
          <w:tcPr>
            <w:tcW w:w="2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690,649</w:t>
            </w:r>
          </w:p>
        </w:tc>
      </w:tr>
      <w:tr>
        <w:trPr/>
        <w:tc>
          <w:tcPr>
            <w:tcW w:w="66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 (Vessel management services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707,132</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721,736</w:t>
            </w:r>
          </w:p>
        </w:tc>
      </w:tr>
      <w:tr>
        <w:trPr/>
        <w:tc>
          <w:tcPr>
            <w:tcW w:w="66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Bulk Singapore Pte Ltd (Time charter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9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617,624</w:t>
            </w:r>
          </w:p>
        </w:tc>
      </w:tr>
      <w:tr>
        <w:trPr/>
        <w:tc>
          <w:tcPr>
            <w:tcW w:w="66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 (Vessel management services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485,796</w:t>
            </w:r>
          </w:p>
        </w:tc>
        <w:tc>
          <w:tcPr>
            <w:tcW w:w="146"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497,079</w:t>
            </w:r>
          </w:p>
        </w:tc>
      </w:tr>
      <w:tr>
        <w:trPr/>
        <w:tc>
          <w:tcPr>
            <w:tcW w:w="66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11,142,617</w:t>
            </w:r>
          </w:p>
        </w:tc>
        <w:tc>
          <w:tcPr>
            <w:tcW w:w="146" w:type="dxa"/>
            <w:tcBorders/>
            <w:vAlign w:val="bottom"/>
          </w:tcPr>
          <w:p>
            <w:pPr>
              <w:pStyle w:val="TableContents"/>
              <w:bidi w:val="0"/>
              <w:spacing w:before="0" w:after="283"/>
              <w:jc w:val="left"/>
              <w:rPr/>
            </w:pPr>
            <w:r>
              <w:rPr/>
              <w:t> </w:t>
            </w:r>
          </w:p>
        </w:tc>
        <w:tc>
          <w:tcPr>
            <w:tcW w:w="29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11,957,102</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the Group provided time charter service and vessel management services to the related parties. These numbers have been included in the revenue of the unaudited condensed consolidated statements of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Financing lease from a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December 31, 2025 and 2024, the Group has financing leases from a related party. (see Note 8)</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(8)</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Short-term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office lease expense from a related party</w:t>
      </w:r>
    </w:p>
    <w:tbl>
      <w:tblPr>
        <w:tblW w:w="5588" w:type="dxa"/>
        <w:jc w:val="left"/>
        <w:tblInd w:w="0" w:type="dxa"/>
        <w:tblLayout w:type="fixed"/>
        <w:tblCellMar>
          <w:top w:w="0" w:type="dxa"/>
          <w:left w:w="0" w:type="dxa"/>
          <w:bottom w:w="0" w:type="dxa"/>
          <w:right w:w="0" w:type="dxa"/>
        </w:tblCellMar>
      </w:tblPr>
      <w:tblGrid>
        <w:gridCol w:w="1981"/>
        <w:gridCol w:w="146"/>
        <w:gridCol w:w="675"/>
        <w:gridCol w:w="960"/>
        <w:gridCol w:w="146"/>
        <w:gridCol w:w="414"/>
        <w:gridCol w:w="1266"/>
      </w:tblGrid>
      <w:tr>
        <w:trPr/>
        <w:tc>
          <w:tcPr>
            <w:tcW w:w="19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r>
      <w:tr>
        <w:trPr/>
        <w:tc>
          <w:tcPr>
            <w:tcW w:w="1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Jun Li’s affiliate</w:t>
            </w:r>
          </w:p>
        </w:tc>
        <w:tc>
          <w:tcPr>
            <w:tcW w:w="146"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13,795</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numbers have been included in the General and administrative expenses of the unaudited condensed consolidated statements of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(9)</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General and administrative expenses shared with a related party</w:t>
      </w:r>
    </w:p>
    <w:tbl>
      <w:tblPr>
        <w:tblW w:w="7013" w:type="dxa"/>
        <w:jc w:val="left"/>
        <w:tblInd w:w="0" w:type="dxa"/>
        <w:tblLayout w:type="fixed"/>
        <w:tblCellMar>
          <w:top w:w="0" w:type="dxa"/>
          <w:left w:w="0" w:type="dxa"/>
          <w:bottom w:w="0" w:type="dxa"/>
          <w:right w:w="0" w:type="dxa"/>
        </w:tblCellMar>
      </w:tblPr>
      <w:tblGrid>
        <w:gridCol w:w="3406"/>
        <w:gridCol w:w="146"/>
        <w:gridCol w:w="420"/>
        <w:gridCol w:w="1215"/>
        <w:gridCol w:w="146"/>
        <w:gridCol w:w="414"/>
        <w:gridCol w:w="1266"/>
      </w:tblGrid>
      <w:tr>
        <w:trPr/>
        <w:tc>
          <w:tcPr>
            <w:tcW w:w="3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Co., Ltd</w:t>
            </w:r>
          </w:p>
        </w:tc>
        <w:tc>
          <w:tcPr>
            <w:tcW w:w="146" w:type="dxa"/>
            <w:tcBorders/>
            <w:shd w:fill="CCEEFF" w:val="clear"/>
            <w:vAlign w:val="bottom"/>
          </w:tcPr>
          <w:p>
            <w:pPr>
              <w:pStyle w:val="TableContents"/>
              <w:bidi w:val="0"/>
              <w:spacing w:before="0" w:after="283"/>
              <w:jc w:val="left"/>
              <w:rPr/>
            </w:pPr>
            <w:r>
              <w:rPr/>
              <w:t> </w:t>
            </w:r>
          </w:p>
        </w:tc>
        <w:tc>
          <w:tcPr>
            <w:tcW w:w="4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57,508</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55,997</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Guarantee by a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and June 30, 2025, long-term loan totaling $2,101,891 and $2,908,945, respectively, was guaranteed by Topsheen Shipping Singapore Pte. Ltd., shareholders and affiliates. (see Note 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 TAXES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incorporated in Cayman Islands as an offshore holding Group and is not subject to tax on income or capital gain under the laws of Cayman Islands. Additionally, the Cayman Islands does not impose a withholding tax on payments of dividends to shareholders.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British Virgin Islands Taxation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current laws of the British Virgin Islands, the Group’s subsidiary incorporated in BVI is not subject to income tax.</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operating entities of the Group are registered in Hong Kong, where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 according to local tax regulations. Therefore, it is the Director’s view that the Group’s revenue is either not subject or exempt from income tax according to the tax regulations prevailing in the jurisdiction in which the Group operates. Hong Kong does not impose withholding tax on dividends and interest currently.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12 — TAXES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reconciles the Hong Kong income tax rates to the Group’s effective tax rate for the six months ended December 31, 2025 and 2024:</w:t>
      </w:r>
    </w:p>
    <w:tbl>
      <w:tblPr>
        <w:tblW w:w="5453" w:type="dxa"/>
        <w:jc w:val="left"/>
        <w:tblInd w:w="0" w:type="dxa"/>
        <w:tblLayout w:type="fixed"/>
        <w:tblCellMar>
          <w:top w:w="0" w:type="dxa"/>
          <w:left w:w="0" w:type="dxa"/>
          <w:bottom w:w="0" w:type="dxa"/>
          <w:right w:w="0" w:type="dxa"/>
        </w:tblCellMar>
      </w:tblPr>
      <w:tblGrid>
        <w:gridCol w:w="1846"/>
        <w:gridCol w:w="146"/>
        <w:gridCol w:w="1073"/>
        <w:gridCol w:w="562"/>
        <w:gridCol w:w="146"/>
        <w:gridCol w:w="1055"/>
        <w:gridCol w:w="625"/>
      </w:tblGrid>
      <w:tr>
        <w:trPr/>
        <w:tc>
          <w:tcPr>
            <w:tcW w:w="18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2025</w:t>
            </w:r>
          </w:p>
        </w:tc>
        <w:tc>
          <w:tcPr>
            <w:tcW w:w="146" w:type="dxa"/>
            <w:tcBorders/>
            <w:vAlign w:val="bottom"/>
          </w:tcPr>
          <w:p>
            <w:pPr>
              <w:pStyle w:val="TableContents"/>
              <w:bidi w:val="0"/>
              <w:spacing w:before="0" w:after="283"/>
              <w:jc w:val="left"/>
              <w:rPr/>
            </w:pPr>
            <w:r>
              <w:rPr/>
              <w:t> </w:t>
            </w:r>
          </w:p>
        </w:tc>
        <w:tc>
          <w:tcPr>
            <w:tcW w:w="16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Six Months </w:t>
              <w:br/>
              <w:t xml:space="preserve">ended </w:t>
              <w:br/>
              <w:t xml:space="preserve">December 31, </w:t>
              <w:br/>
              <w:t>2024</w:t>
            </w:r>
          </w:p>
        </w:tc>
      </w:tr>
      <w:tr>
        <w:trPr/>
        <w:tc>
          <w:tcPr>
            <w:tcW w:w="1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Statutory tax rate</w:t>
            </w:r>
          </w:p>
        </w:tc>
        <w:tc>
          <w:tcPr>
            <w:tcW w:w="146"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56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6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exemption</w:t>
            </w:r>
          </w:p>
        </w:tc>
        <w:tc>
          <w:tcPr>
            <w:tcW w:w="146" w:type="dxa"/>
            <w:tcBorders/>
            <w:vAlign w:val="bottom"/>
          </w:tcPr>
          <w:p>
            <w:pPr>
              <w:pStyle w:val="TableContents"/>
              <w:bidi w:val="0"/>
              <w:spacing w:before="0" w:after="283"/>
              <w:jc w:val="left"/>
              <w:rPr/>
            </w:pPr>
            <w:r>
              <w:rPr/>
              <w:t> </w:t>
            </w:r>
          </w:p>
        </w:tc>
        <w:tc>
          <w:tcPr>
            <w:tcW w:w="10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56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6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tax rate</w:t>
            </w:r>
          </w:p>
        </w:tc>
        <w:tc>
          <w:tcPr>
            <w:tcW w:w="146" w:type="dxa"/>
            <w:tcBorders/>
            <w:shd w:fill="CCEEFF" w:val="clear"/>
            <w:vAlign w:val="bottom"/>
          </w:tcPr>
          <w:p>
            <w:pPr>
              <w:pStyle w:val="TableContents"/>
              <w:bidi w:val="0"/>
              <w:spacing w:before="0" w:after="283"/>
              <w:jc w:val="left"/>
              <w:rPr/>
            </w:pPr>
            <w:r>
              <w:rPr/>
              <w:t> </w:t>
            </w:r>
          </w:p>
        </w:tc>
        <w:tc>
          <w:tcPr>
            <w:tcW w:w="107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56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5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6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 SHAREHOLDERS’ EQUITY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on July 4, 2023 as a holding company. The Company’s authorized share capital was $50,000 divided into 500,000,000 ordinary shares of a par value of $0.0001 each upon incorporation (equivalent to 20,000,000 ordinary shares of a par value of $0.0025 each on a post-consolidation basis). The number of ordinary shares issued and outstanding was 92.1 as of July 4, 2023(equivalent to 3.7 shares on a post-consolidation basis).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26, 2026, the Company held its extraordinary shareholder general meeting (the “Meeting”). At the Meeting, the shareholders of the Company adopted the following resolutions: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increase the authorized share capital of the Company from US$50,000 divided into 500,000,000 Ordinary Shares of par value US$0.0001 each to US$100,000 divided into 1,000,000,000 Ordinary Shares of par value US$0.0001 each (equivalent to 40,000,000 ordinary shares of a par value of $0.0025 each on a post-consolidation basis).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authorize, establish, and designate two new classes of ordinary shares of US$0.0001 par value each (equivalent to par value of $0.0025 each on a post-consolidation basis), being the Class A Ordinary Shares and the Class B Ordinary Shares, with each of the Class A Shares and Class B Shares having the rights, obligations and privileges. Both the Class A Ordinary Shares and the Class B Ordinary Shares will have the same rights as the existing ordinary shares except that the Class B Ordinary Shares will have weighted voting rights. Each Class B Ordinary Share shall have thirty (30) votes at a meeting of the shareholders or on any resolution of shareholders whereas each Class A Ordinary Share shall only have one (1) vote. Each outstanding Class B Ordinary Share is convertible at any time after issuance at the option of the holder into one (1) Class A Ordinary Share. The Class A Shares will not be convertible into shares of any other class.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redesignate (a) 5,164,951 existing authorized and issued ordinary shares (equivalent to 206,598 shares on a post-consolidation basis) as Class B Shares. This includes 908,708 shares (equivalent to 36,348 shares on a post-consolidation basis) held by EASCOR HOLDING LIMITED and 4,256,243 shares (equivalent to 170,250 shares on a post-consolidation basis) held by BEVERLY HOLDING LIMITED; (b) The remaining 25,319,350 issued ordinary shares (equivalent to 1,012,774 shares on a post-consolidation basis) as Class A Shares; (c) 969,515,699 authorized but unissued ordinary shares(equivalent to 38,780,628 shares on a post-consolidation basis) as Class A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March 22, 2026, the Company’s Board of Directors passed written resolutions to implement a 25:1 share consolidation to ensure the Company meets the minimum bid price requirement for continued listing on The Nasdaq Capital Market. The share consolidation became effective as of April 2, 2026. This consolidation reduced the total number of authorized and outstanding ordinary shares from 1,000,000,000 (comprising 994,835,049 Class A Shares and 5,164,951 Class B Shares prior to share consolidation) to 40,000,000 (comprising 39,793,402 Class A Shares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 SHAREHOLDERS’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206,598 Class B Shares after share consolidation), with the par value per share increasing from US$0.0001 to US$0.0025 (with any fractional entitlements to be round up to the next whole share). The share consolidation was accounted for on a retroactive basis pursuant to ASC 260. All ordinary shares and per share data for all periods have been retroactively restated accordingly.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Recapitalization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April 15, 2024, the Company effectuated a series of share recapitalizations (the “Recapitalization”). As a result of the Recapitalization, the Company had nominal issuance of 1,000,000 ordinary shares to the existing ordinary shareholders. The Company believes that the Recapitalization should be accounted for on a retroactive basis pursuant to ASC 260. All ordinary shares and per share data for all periods have been retroactively restated accordingly.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Private Placements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20, 2025, the Company entered into an Ordinary Share Purchase Agreement with White Lion Capital LLC, a Nevada limited liability company (the “White Lion Capital”). Pursuant to the Purchase Agreement, White Lion Capital is committed to purchase our Class A ordinary shares, par value US$0.0025 per share, with an aggregate gross purchase price of up to $10,000,000 from time to time during the period commencing on August 20, 2025 and ending on the earlier of (i) the date on which White Lion Capital shall have purchased an aggregate number of our Class A ordinary shares equal to the Commitment Amount or (ii) the later of the 18 month anniversary of the Execution Date or the first closing. The Commitment Amount may be increased up to $30,000,000 upon the mutual written consent of White Lion Capital and us. On December 1, 2025, the Company issued 15,990 Class A Ordinary Shares (with 1,990 commitment shares) of the Company at a price of $11.75 per share for consideration of $144,427. On December 15, 2025, the Company issued 14,000 Class A Ordinary Shares of the Company at a price of $5.35 per share for consideration of $74,827.</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Issuance for convertible notes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issued 3,419 Commitment Shares and 102,200 Pre-Delivery Shares to Streeterville Capital, LLC on September 9, 2025 and 16,763 Class A shares on December 2, 2025 in conversion of $275,000 convertible note balance. (see Note 10)</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2025, the Company issued 3,350 warrants to Kingswood Capital Partners, LLC as additional compensation for underwriter services. Each warrant entitles the holder to purchase one ordinary share. The warrants are exercisable at any time and from time to time from September 30, 2025 to March 31, 2030 at an exercise price of $210.00 per share. Since the warrants are indexed to the Company’s own stock and meet all other conditions for equity classification, the Company classified the warrants in stockholders’ equity as part of additional paid-in capital, and no subsequent re-measurement is required. The fair value of the warrants as of March 31, 2025 was $386,644, measured using the Black-Scholes option pricing model with the following key assumptions:</w:t>
      </w:r>
    </w:p>
    <w:tbl>
      <w:tblPr>
        <w:tblW w:w="4227" w:type="dxa"/>
        <w:jc w:val="left"/>
        <w:tblInd w:w="0" w:type="dxa"/>
        <w:tblLayout w:type="fixed"/>
        <w:tblCellMar>
          <w:top w:w="0" w:type="dxa"/>
          <w:left w:w="0" w:type="dxa"/>
          <w:bottom w:w="0" w:type="dxa"/>
          <w:right w:w="0" w:type="dxa"/>
        </w:tblCellMar>
      </w:tblPr>
      <w:tblGrid>
        <w:gridCol w:w="2806"/>
        <w:gridCol w:w="146"/>
        <w:gridCol w:w="928"/>
        <w:gridCol w:w="347"/>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7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2025</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w:t>
            </w:r>
          </w:p>
        </w:tc>
        <w:tc>
          <w:tcPr>
            <w:tcW w:w="146"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c>
          <w:tcPr>
            <w:tcW w:w="3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average volatility</w:t>
            </w:r>
          </w:p>
        </w:tc>
        <w:tc>
          <w:tcPr>
            <w:tcW w:w="146" w:type="dxa"/>
            <w:tcBorders/>
            <w:vAlign w:val="bottom"/>
          </w:tcPr>
          <w:p>
            <w:pPr>
              <w:pStyle w:val="TableContents"/>
              <w:bidi w:val="0"/>
              <w:spacing w:before="0" w:after="283"/>
              <w:jc w:val="left"/>
              <w:rPr/>
            </w:pPr>
            <w:r>
              <w:rPr/>
              <w:t> </w:t>
            </w:r>
          </w:p>
        </w:tc>
        <w:tc>
          <w:tcPr>
            <w:tcW w:w="92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w:t>
            </w:r>
          </w:p>
        </w:tc>
        <w:tc>
          <w:tcPr>
            <w:tcW w:w="34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4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vAlign w:val="bottom"/>
          </w:tcPr>
          <w:p>
            <w:pPr>
              <w:pStyle w:val="TableContents"/>
              <w:bidi w:val="0"/>
              <w:spacing w:before="0" w:after="283"/>
              <w:jc w:val="left"/>
              <w:rPr/>
            </w:pPr>
            <w:r>
              <w:rPr/>
              <w:t> </w:t>
            </w:r>
          </w:p>
        </w:tc>
        <w:tc>
          <w:tcPr>
            <w:tcW w:w="92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w:t>
            </w:r>
          </w:p>
        </w:tc>
        <w:tc>
          <w:tcPr>
            <w:tcW w:w="34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UNAUDITED CONDENSED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13 — SHAREHOLDERS’ EQUITY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warrants activity was as follows:</w:t>
      </w:r>
    </w:p>
    <w:tbl>
      <w:tblPr>
        <w:tblW w:w="10205" w:type="dxa"/>
        <w:jc w:val="left"/>
        <w:tblInd w:w="0" w:type="dxa"/>
        <w:tblLayout w:type="fixed"/>
        <w:tblCellMar>
          <w:top w:w="0" w:type="dxa"/>
          <w:left w:w="0" w:type="dxa"/>
          <w:bottom w:w="0" w:type="dxa"/>
          <w:right w:w="0" w:type="dxa"/>
        </w:tblCellMar>
      </w:tblPr>
      <w:tblGrid>
        <w:gridCol w:w="4252"/>
        <w:gridCol w:w="146"/>
        <w:gridCol w:w="1186"/>
        <w:gridCol w:w="146"/>
        <w:gridCol w:w="1381"/>
        <w:gridCol w:w="146"/>
        <w:gridCol w:w="1364"/>
        <w:gridCol w:w="146"/>
        <w:gridCol w:w="1438"/>
      </w:tblGrid>
      <w:tr>
        <w:trPr/>
        <w:tc>
          <w:tcPr>
            <w:tcW w:w="425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warrants</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price </w:t>
              <w:br/>
              <w:t>per hare</w:t>
            </w:r>
          </w:p>
        </w:tc>
        <w:tc>
          <w:tcPr>
            <w:tcW w:w="146" w:type="dxa"/>
            <w:tcBorders/>
            <w:vAlign w:val="bottom"/>
          </w:tcPr>
          <w:p>
            <w:pPr>
              <w:pStyle w:val="TableContents"/>
              <w:bidi w:val="0"/>
              <w:spacing w:before="0" w:after="283"/>
              <w:jc w:val="left"/>
              <w:rPr/>
            </w:pPr>
            <w:r>
              <w:rPr/>
              <w:t> </w:t>
            </w:r>
          </w:p>
        </w:tc>
        <w:tc>
          <w:tcPr>
            <w:tcW w:w="136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 xml:space="preserve">contractual </w:t>
              <w:br/>
              <w:t>life</w:t>
            </w:r>
          </w:p>
        </w:tc>
        <w:tc>
          <w:tcPr>
            <w:tcW w:w="146" w:type="dxa"/>
            <w:tcBorders/>
            <w:vAlign w:val="bottom"/>
          </w:tcPr>
          <w:p>
            <w:pPr>
              <w:pStyle w:val="TableContents"/>
              <w:bidi w:val="0"/>
              <w:spacing w:before="0" w:after="283"/>
              <w:jc w:val="left"/>
              <w:rPr/>
            </w:pPr>
            <w:r>
              <w:rPr/>
              <w:t> </w:t>
            </w:r>
          </w:p>
        </w:tc>
        <w:tc>
          <w:tcPr>
            <w:tcW w:w="143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Expiration </w:t>
              <w:br/>
              <w:t>dates</w:t>
            </w:r>
          </w:p>
        </w:tc>
      </w:tr>
      <w:tr>
        <w:trPr/>
        <w:tc>
          <w:tcPr>
            <w:tcW w:w="42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of warrants outstanding as of June 30, 2025</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r>
      <w:tr>
        <w:trPr/>
        <w:tc>
          <w:tcPr>
            <w:tcW w:w="42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March 2025 Warrants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3,350</w:t>
            </w:r>
          </w:p>
        </w:tc>
        <w:tc>
          <w:tcPr>
            <w:tcW w:w="146" w:type="dxa"/>
            <w:tcBorders/>
            <w:vAlign w:val="bottom"/>
          </w:tcPr>
          <w:p>
            <w:pPr>
              <w:pStyle w:val="TableContents"/>
              <w:bidi w:val="0"/>
              <w:spacing w:before="0" w:after="283"/>
              <w:jc w:val="left"/>
              <w:rPr/>
            </w:pPr>
            <w:r>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210.00</w:t>
            </w:r>
          </w:p>
        </w:tc>
        <w:tc>
          <w:tcPr>
            <w:tcW w:w="146" w:type="dxa"/>
            <w:tcBorders/>
            <w:vAlign w:val="bottom"/>
          </w:tcPr>
          <w:p>
            <w:pPr>
              <w:pStyle w:val="TableContents"/>
              <w:bidi w:val="0"/>
              <w:spacing w:before="0" w:after="283"/>
              <w:jc w:val="left"/>
              <w:rPr/>
            </w:pPr>
            <w:r>
              <w:rPr/>
              <w:t> </w:t>
            </w:r>
          </w:p>
        </w:tc>
        <w:tc>
          <w:tcPr>
            <w:tcW w:w="136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c>
          <w:tcPr>
            <w:tcW w:w="146" w:type="dxa"/>
            <w:tcBorders/>
            <w:vAlign w:val="bottom"/>
          </w:tcPr>
          <w:p>
            <w:pPr>
              <w:pStyle w:val="TableContents"/>
              <w:bidi w:val="0"/>
              <w:spacing w:before="0" w:after="283"/>
              <w:jc w:val="left"/>
              <w:rPr/>
            </w:pPr>
            <w:r>
              <w:rPr/>
              <w:t> </w:t>
            </w:r>
          </w:p>
        </w:tc>
        <w:tc>
          <w:tcPr>
            <w:tcW w:w="1438"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2030</w:t>
            </w:r>
          </w:p>
        </w:tc>
      </w:tr>
      <w:tr>
        <w:trPr/>
        <w:tc>
          <w:tcPr>
            <w:tcW w:w="42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of warrants outstanding and exercisable as of Dec 31, 2025</w:t>
            </w:r>
          </w:p>
        </w:tc>
        <w:tc>
          <w:tcPr>
            <w:tcW w:w="146" w:type="dxa"/>
            <w:tcBorders/>
            <w:shd w:fill="CCEEFF" w:val="clear"/>
            <w:vAlign w:val="bottom"/>
          </w:tcPr>
          <w:p>
            <w:pPr>
              <w:pStyle w:val="TableContents"/>
              <w:bidi w:val="0"/>
              <w:spacing w:before="0" w:after="283"/>
              <w:jc w:val="left"/>
              <w:rPr/>
            </w:pPr>
            <w:r>
              <w:rPr/>
              <w:t> </w:t>
            </w:r>
          </w:p>
        </w:tc>
        <w:tc>
          <w:tcPr>
            <w:tcW w:w="11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3,350</w:t>
            </w:r>
          </w:p>
        </w:tc>
        <w:tc>
          <w:tcPr>
            <w:tcW w:w="146" w:type="dxa"/>
            <w:tcBorders/>
            <w:shd w:fill="CCEEFF" w:val="clear"/>
            <w:vAlign w:val="bottom"/>
          </w:tcPr>
          <w:p>
            <w:pPr>
              <w:pStyle w:val="TableContents"/>
              <w:bidi w:val="0"/>
              <w:spacing w:before="0" w:after="283"/>
              <w:jc w:val="left"/>
              <w:rPr/>
            </w:pPr>
            <w:r>
              <w:rPr/>
              <w:t> </w:t>
            </w:r>
          </w:p>
        </w:tc>
        <w:tc>
          <w:tcPr>
            <w:tcW w:w="13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210.00</w:t>
            </w:r>
          </w:p>
        </w:tc>
        <w:tc>
          <w:tcPr>
            <w:tcW w:w="146" w:type="dxa"/>
            <w:tcBorders/>
            <w:shd w:fill="CCEEFF" w:val="clear"/>
            <w:vAlign w:val="bottom"/>
          </w:tcPr>
          <w:p>
            <w:pPr>
              <w:pStyle w:val="TableContents"/>
              <w:bidi w:val="0"/>
              <w:spacing w:before="0" w:after="283"/>
              <w:jc w:val="left"/>
              <w:rPr/>
            </w:pPr>
            <w:r>
              <w:rPr/>
              <w:t> </w:t>
            </w:r>
          </w:p>
        </w:tc>
        <w:tc>
          <w:tcPr>
            <w:tcW w:w="136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4.25 years</w:t>
            </w:r>
          </w:p>
        </w:tc>
        <w:tc>
          <w:tcPr>
            <w:tcW w:w="146" w:type="dxa"/>
            <w:tcBorders/>
            <w:shd w:fill="CCEEFF" w:val="clear"/>
            <w:vAlign w:val="bottom"/>
          </w:tcPr>
          <w:p>
            <w:pPr>
              <w:pStyle w:val="TableContents"/>
              <w:bidi w:val="0"/>
              <w:spacing w:before="0" w:after="283"/>
              <w:jc w:val="left"/>
              <w:rPr/>
            </w:pPr>
            <w:r>
              <w:rPr/>
              <w:t> </w:t>
            </w:r>
          </w:p>
        </w:tc>
        <w:tc>
          <w:tcPr>
            <w:tcW w:w="1438" w:type="dxa"/>
            <w:tcBorders/>
            <w:shd w:fill="CCEEFF" w:val="clear"/>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 COMMITMENTS AND CONTINGENCIES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Contingencies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may be involved in various legal proceedings, claims and other disputes arising from the commercial operations, projects, employees and other matters which, in general, are subject to uncertainties and in which the outcomes are not predictable. The Group determines whether an estimated loss from a contingency should be accrued by assessing whether a loss is deemed probable and can be reasonably estimated. Although the Group can give no assurances about the resolution of pending claims, litigation or other disputes and the effect such outcomes may have on the Group, the Group believes that any ultimate liability resulting from the outcome of such proceedings, to the extent not otherwise provided or covered by insurance, will not have a material adverse effect on the Group’s consolidated financial position or results of operations or liquidity.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no significant financial nor capital commitments and contingencies existed.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 SUBSEQUENT EVENTS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evaluated all events and transactions that occurred after December 31, 2025 up through the date when the unaudited condensed consolidated financial statements were issued. Other than the events disclosed elsewhere in the unaudited condensed consolidated financial statements and those disclosed above, there are no other subsequent event occurred that would require adjustment or disclosure in the Group’s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306"/>
      <w:bookmarkEnd w:id="31"/>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the Board of Directors and Shareholders of </w:t>
        <w:br/>
        <w:t>Intercont (Cayman) Limited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Combined and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combined and consolidated balance sheets of Intercont (Cayman) Limited and its subsidiaries (the “Company”) as of June 30, 2025 and 2024, and the related combined and consolidated statements of income, changes in shareholders’ equity, and cash flows for each of the three years in the period ended June 30, 2025, and the related notes (collectively referred to as the “combined and consolidated financial statements”). In our opinion, the combined and consolidated financial statements present fairly, in all material respects, the financial position of the Company as of June 30, 2025 and 2024, and the results of its operations and its cash flows for each of the three years in the period ended June 30, 2025, in conformity with accounting principles generally accepted in the United States of America.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Emphasis of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1 to the combined and consolidated financial statements, the Company has a significant working capital deficit as of June 30, 2025. The Company’s ability to continue as a going concern is dependent, in part, on receiving financial support from the Company’s primary shareholders. Management’s evaluation of the events and conditions and management’s plans that mitigated these matters are described in Note 1 to these combined and consolidated financial statements. Our opinion is not modified with respect to this matter.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10 to the combined and consolidated financial statements, the Company has significant related party transactions involving revenue, lease arrangement, due to and due from, advances, and expenses paid by and to multiple related parties. The Company’s revenue from related parties was approximately $23.4 million, $16.3 million and $18.8 million for the years ended June 30, 2025, 2024 and 2023, respectively, or approximately 93%, 64% and 58%, respectively, of total revenue of the Company. Our opinion is not modified with respect to that matter.</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combined and consolidated financial statements are the responsibility of the Company’s management. Our responsibility is to express an opinion on the Company’s combined and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 to obtain reasonable assurance about whether the combined and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combined and consolidated financial statements, whether due to error or fraud, and performing procedures that respond to those risks. Such procedures included examining, on a test basis, evidence regarding the amounts and disclosures in the combined and consolidated financial statements. Our audits also included evaluating the accounting principles used and significant estimates made by management, as well as evaluating the overall presentation of the combined and consolidated financial statements. We believe that our audits provide a reasonable basis for our opinion.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UHY LLP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York, New York</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30,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307"/>
      <w:bookmarkEnd w:id="32"/>
      <w:r>
        <w:rPr>
          <w:rFonts w:ascii="Times New Roman PS Std;serif" w:hAnsi="Times New Roman PS Std;serif"/>
          <w:b/>
          <w:i w:val="false"/>
          <w:caps w:val="false"/>
          <w:smallCaps w:val="false"/>
          <w:sz w:val="20"/>
        </w:rPr>
        <w:t>INTERCONT (CAYMAN) LIMITED</w:t>
        <w:br/>
        <w:t>COMBINED AND CONSOLIDATED BALANCE SHEETS</w:t>
        <w:br/>
        <w:t xml:space="preserve">(Expressed in U.S. Dollars — except for share data) </w:t>
      </w:r>
    </w:p>
    <w:tbl>
      <w:tblPr>
        <w:tblW w:w="10205" w:type="dxa"/>
        <w:jc w:val="left"/>
        <w:tblInd w:w="0" w:type="dxa"/>
        <w:tblLayout w:type="fixed"/>
        <w:tblCellMar>
          <w:top w:w="0" w:type="dxa"/>
          <w:left w:w="0" w:type="dxa"/>
          <w:bottom w:w="0" w:type="dxa"/>
          <w:right w:w="0" w:type="dxa"/>
        </w:tblCellMar>
      </w:tblPr>
      <w:tblGrid>
        <w:gridCol w:w="6233"/>
        <w:gridCol w:w="146"/>
        <w:gridCol w:w="301"/>
        <w:gridCol w:w="1396"/>
        <w:gridCol w:w="146"/>
        <w:gridCol w:w="301"/>
        <w:gridCol w:w="1396"/>
        <w:gridCol w:w="286"/>
      </w:tblGrid>
      <w:tr>
        <w:trPr/>
        <w:tc>
          <w:tcPr>
            <w:tcW w:w="623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82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w:t>
            </w:r>
          </w:p>
        </w:tc>
      </w:tr>
      <w:tr>
        <w:trPr/>
        <w:tc>
          <w:tcPr>
            <w:tcW w:w="6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23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5,648,749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3,751,921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287,193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261,821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1,018,315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136,942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788,351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555,070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from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331,948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403,318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investment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10,300,869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18,375,425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5,109,072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49,722,428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53,223,618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6,506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dry dock cost,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682,637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959,924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asset-operating lease,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1,560,385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4,587,352</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IPO cost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287,835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non-current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975,000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52,446,956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60,038,415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70,822,381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65,147,487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AND SHAREHOLDERS’ EQUITY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maturity of long-term loan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1,656,288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1,656,288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1,025,427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1,035,506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 from customers-related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433,125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related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24,553,231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24,851,679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1,113,103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314,919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1,437,353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3,026,234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 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3,338,390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3,256,190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 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507,479</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34,064,396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35,404,025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1,252,657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2,848,986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440,129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non-current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1,572,994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 non-current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10,677,310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13,948,550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Non-Current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11,929,967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18,810,659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45,994,363</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54,214,684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13)</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Shareholders’ Equity: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Ordinary shares, $0.0001 par value, 500 million shares authorized, 26,675,001 and 25,000,001 share issued and outstanding as of June 30, 2025 and 2024, respectively*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Subscription receivable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23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12,457,680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3,016,900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Retained earnings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12,367,670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9,263,403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Shareholders’ Equity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24,828,018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10,932,803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Non-controlling interest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Equity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24,828,018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10,932,803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3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and Equity</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70,822,381</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65,147,487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Shares and per share data are presented on a retroactive basis to reflect the recapitalization as described in Note 12.</w:t>
      </w:r>
    </w:p>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combined and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bookmarkStart w:id="33" w:name="T308"/>
      <w:bookmarkEnd w:id="33"/>
      <w:r>
        <w:rPr>
          <w:rFonts w:ascii="Times New Roman PS Std;serif" w:hAnsi="Times New Roman PS Std;serif"/>
          <w:b/>
          <w:i w:val="false"/>
          <w:caps w:val="false"/>
          <w:smallCaps w:val="false"/>
          <w:sz w:val="20"/>
        </w:rPr>
        <w:t>INTERCONT (CAYMAN) LIMITED</w:t>
        <w:br/>
        <w:t>COMBINED AND CONSOLIDATED STATEMENTS OF INCOME</w:t>
        <w:br/>
        <w:t>(Expressed in U.S. Dollars — except for share data)</w:t>
      </w:r>
      <w:r>
        <w:rPr>
          <w:rFonts w:ascii="Times New Roman PS Std;serif" w:hAnsi="Times New Roman PS Std;serif"/>
          <w:b w:val="false"/>
          <w:i w:val="false"/>
          <w:caps w:val="false"/>
          <w:smallCaps w:val="false"/>
          <w:sz w:val="20"/>
        </w:rPr>
        <w:t xml:space="preserve"> </w:t>
      </w:r>
    </w:p>
    <w:tbl>
      <w:tblPr>
        <w:tblW w:w="10205" w:type="dxa"/>
        <w:jc w:val="left"/>
        <w:tblInd w:w="0" w:type="dxa"/>
        <w:tblLayout w:type="fixed"/>
        <w:tblCellMar>
          <w:top w:w="0" w:type="dxa"/>
          <w:left w:w="0" w:type="dxa"/>
          <w:bottom w:w="0" w:type="dxa"/>
          <w:right w:w="0" w:type="dxa"/>
        </w:tblCellMar>
      </w:tblPr>
      <w:tblGrid>
        <w:gridCol w:w="3863"/>
        <w:gridCol w:w="146"/>
        <w:gridCol w:w="301"/>
        <w:gridCol w:w="1396"/>
        <w:gridCol w:w="256"/>
        <w:gridCol w:w="146"/>
        <w:gridCol w:w="301"/>
        <w:gridCol w:w="1396"/>
        <w:gridCol w:w="256"/>
        <w:gridCol w:w="146"/>
        <w:gridCol w:w="301"/>
        <w:gridCol w:w="1396"/>
        <w:gridCol w:w="301"/>
      </w:tblGrid>
      <w:tr>
        <w:trPr/>
        <w:tc>
          <w:tcPr>
            <w:tcW w:w="386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196"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38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9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 third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7,332,097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13,043,409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 –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19,306,369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12,281,701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13,999,534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 third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1,761,184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1,879,943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557,726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 –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4,068,128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4,033,195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4,844,888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25,135,681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25,526,936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32,445,557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Cost of revenues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time charter revenue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12,172,641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12,958,301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13,151,715</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 of vessel management services revenue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5,127,060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5,218,970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4,916,597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Cost of revenues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17,299,701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18,177,271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18,068,312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Gross profit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7,835,980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7,349,665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14,377,245</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2,314,051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1,669,958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876,437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621,024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601,000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2,935,075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2,270,958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876,437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from operations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4,900,905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5,078,707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13,500,808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307,225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194,576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(1,911,780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(2,696,117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(2,718,304</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111,250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450,253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(89,391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expense,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(1,796,638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(1,938,639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(2,613,119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8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before income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3,104,267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3,140,068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10,887,689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3,104,267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3,140,068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10,887,689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Net income attributable to non-controlling interests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16,573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income attributable to the Company</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3,104,267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3,140,068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10,871,116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86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Earnings per share – 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6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 Basic and diluted*</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25,414,248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24,613,698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24,499,999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Shares and per share data are presented on a retroactive basis to reflect the recapitalization as described in Note 12.</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combined and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309"/>
      <w:bookmarkEnd w:id="34"/>
      <w:r>
        <w:rPr>
          <w:rFonts w:ascii="Times New Roman PS Std;serif" w:hAnsi="Times New Roman PS Std;serif"/>
          <w:b/>
          <w:i w:val="false"/>
          <w:caps w:val="false"/>
          <w:smallCaps w:val="false"/>
          <w:sz w:val="20"/>
        </w:rPr>
        <w:t>INTERCONT (CAYMAN) LIMITED</w:t>
        <w:br/>
        <w:t>COMBINED AND CONSOLIDATED STATEMENTS OF CHANGES IN SHAREHOLDERS’ EQUITY</w:t>
        <w:br/>
        <w:t>FOR THE YEARS ENDED JUNE 30, 2025, 2024 AND 2023</w:t>
        <w:br/>
        <w:t xml:space="preserve">(Expressed in U.S. Dollars — except for share data) </w:t>
      </w:r>
    </w:p>
    <w:tbl>
      <w:tblPr>
        <w:tblW w:w="14116" w:type="dxa"/>
        <w:jc w:val="left"/>
        <w:tblInd w:w="0" w:type="dxa"/>
        <w:tblLayout w:type="fixed"/>
        <w:tblCellMar>
          <w:top w:w="0" w:type="dxa"/>
          <w:left w:w="0" w:type="dxa"/>
          <w:bottom w:w="0" w:type="dxa"/>
          <w:right w:w="0" w:type="dxa"/>
        </w:tblCellMar>
      </w:tblPr>
      <w:tblGrid>
        <w:gridCol w:w="1391"/>
        <w:gridCol w:w="146"/>
        <w:gridCol w:w="1396"/>
        <w:gridCol w:w="146"/>
        <w:gridCol w:w="301"/>
        <w:gridCol w:w="781"/>
        <w:gridCol w:w="146"/>
        <w:gridCol w:w="301"/>
        <w:gridCol w:w="1351"/>
        <w:gridCol w:w="256"/>
        <w:gridCol w:w="146"/>
        <w:gridCol w:w="301"/>
        <w:gridCol w:w="1396"/>
        <w:gridCol w:w="241"/>
        <w:gridCol w:w="146"/>
        <w:gridCol w:w="301"/>
        <w:gridCol w:w="1396"/>
        <w:gridCol w:w="241"/>
        <w:gridCol w:w="146"/>
        <w:gridCol w:w="301"/>
        <w:gridCol w:w="916"/>
        <w:gridCol w:w="241"/>
        <w:gridCol w:w="146"/>
        <w:gridCol w:w="301"/>
        <w:gridCol w:w="1396"/>
        <w:gridCol w:w="286"/>
      </w:tblGrid>
      <w:tr>
        <w:trPr/>
        <w:tc>
          <w:tcPr>
            <w:tcW w:w="139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13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02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Attributable to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Intercont’s Shareholders</w:t>
            </w:r>
          </w:p>
        </w:tc>
        <w:tc>
          <w:tcPr>
            <w:tcW w:w="146" w:type="dxa"/>
            <w:tcBorders/>
            <w:vAlign w:val="bottom"/>
          </w:tcPr>
          <w:p>
            <w:pPr>
              <w:pStyle w:val="TableContents"/>
              <w:bidi w:val="0"/>
              <w:spacing w:before="0" w:after="283"/>
              <w:jc w:val="left"/>
              <w:rPr/>
            </w:pPr>
            <w:r>
              <w:rPr/>
              <w:t> </w:t>
            </w:r>
          </w:p>
        </w:tc>
        <w:tc>
          <w:tcPr>
            <w:tcW w:w="1458"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bidi w:val="0"/>
              <w:spacing w:before="0" w:after="283"/>
              <w:jc w:val="left"/>
              <w:rPr/>
            </w:pPr>
            <w:r>
              <w:rPr/>
              <w:t> </w:t>
            </w:r>
          </w:p>
        </w:tc>
      </w:tr>
      <w:tr>
        <w:trPr/>
        <w:tc>
          <w:tcPr>
            <w:tcW w:w="13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62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Ordinary Shares</w:t>
            </w:r>
          </w:p>
        </w:tc>
        <w:tc>
          <w:tcPr>
            <w:tcW w:w="146" w:type="dxa"/>
            <w:tcBorders/>
            <w:vAlign w:val="bottom"/>
          </w:tcPr>
          <w:p>
            <w:pPr>
              <w:pStyle w:val="TableContents"/>
              <w:bidi w:val="0"/>
              <w:spacing w:before="0" w:after="283"/>
              <w:jc w:val="left"/>
              <w:rPr/>
            </w:pPr>
            <w:r>
              <w:rPr/>
              <w:t> </w:t>
            </w:r>
          </w:p>
        </w:tc>
        <w:tc>
          <w:tcPr>
            <w:tcW w:w="190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Subscription </w:t>
              <w:br/>
              <w:t>Receivable</w:t>
            </w:r>
          </w:p>
        </w:tc>
        <w:tc>
          <w:tcPr>
            <w:tcW w:w="146" w:type="dxa"/>
            <w:vMerge w:val="restart"/>
            <w:tcBorders/>
            <w:vAlign w:val="bottom"/>
          </w:tcPr>
          <w:p>
            <w:pPr>
              <w:pStyle w:val="TableContents"/>
              <w:bidi w:val="0"/>
              <w:spacing w:before="0" w:after="283"/>
              <w:jc w:val="left"/>
              <w:rPr/>
            </w:pPr>
            <w:r>
              <w:rPr/>
              <w:t> </w:t>
            </w:r>
          </w:p>
        </w:tc>
        <w:tc>
          <w:tcPr>
            <w:tcW w:w="193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Additional </w:t>
              <w:br/>
              <w:t>Paid in</w:t>
              <w:br/>
              <w:t>Capital</w:t>
            </w:r>
          </w:p>
        </w:tc>
        <w:tc>
          <w:tcPr>
            <w:tcW w:w="146" w:type="dxa"/>
            <w:vMerge w:val="restart"/>
            <w:tcBorders/>
            <w:vAlign w:val="bottom"/>
          </w:tcPr>
          <w:p>
            <w:pPr>
              <w:pStyle w:val="TableContents"/>
              <w:bidi w:val="0"/>
              <w:spacing w:before="0" w:after="283"/>
              <w:jc w:val="left"/>
              <w:rPr/>
            </w:pPr>
            <w:r>
              <w:rPr/>
              <w:t> </w:t>
            </w:r>
          </w:p>
        </w:tc>
        <w:tc>
          <w:tcPr>
            <w:tcW w:w="193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Retained</w:t>
              <w:br/>
              <w:t>Earnings</w:t>
            </w:r>
          </w:p>
        </w:tc>
        <w:tc>
          <w:tcPr>
            <w:tcW w:w="146" w:type="dxa"/>
            <w:vMerge w:val="restart"/>
            <w:tcBorders/>
            <w:vAlign w:val="bottom"/>
          </w:tcPr>
          <w:p>
            <w:pPr>
              <w:pStyle w:val="TableContents"/>
              <w:bidi w:val="0"/>
              <w:spacing w:before="0" w:after="283"/>
              <w:jc w:val="left"/>
              <w:rPr/>
            </w:pPr>
            <w:r>
              <w:rPr/>
              <w:t> </w:t>
            </w:r>
          </w:p>
        </w:tc>
        <w:tc>
          <w:tcPr>
            <w:tcW w:w="145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 </w:t>
              <w:br/>
              <w:t>controlling</w:t>
              <w:br/>
              <w:t>interest</w:t>
            </w:r>
          </w:p>
        </w:tc>
        <w:tc>
          <w:tcPr>
            <w:tcW w:w="146" w:type="dxa"/>
            <w:vMerge w:val="restart"/>
            <w:tcBorders/>
            <w:vAlign w:val="bottom"/>
          </w:tcPr>
          <w:p>
            <w:pPr>
              <w:pStyle w:val="TableContents"/>
              <w:bidi w:val="0"/>
              <w:spacing w:before="0" w:after="283"/>
              <w:jc w:val="left"/>
              <w:rPr/>
            </w:pPr>
            <w:r>
              <w:rPr/>
              <w:t> </w:t>
            </w:r>
          </w:p>
        </w:tc>
        <w:tc>
          <w:tcPr>
            <w:tcW w:w="198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13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10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190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3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3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5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983" w:type="dxa"/>
            <w:gridSpan w:val="3"/>
            <w:vMerge w:val="continue"/>
            <w:tcBorders/>
            <w:vAlign w:val="bottom"/>
          </w:tcPr>
          <w:p>
            <w:pPr>
              <w:pStyle w:val="Normal"/>
              <w:bidi w:val="0"/>
              <w:jc w:val="left"/>
              <w:rPr/>
            </w:pPr>
            <w:r>
              <w:rPr/>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June 30, 2022</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24,499,999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2,450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9,088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10,852,219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72,210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10,935,967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Acquisition of noncontrolling interest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19,415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(19,415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for the year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10,871,116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10,887,689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declared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(69,368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(3,869,368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June 30, 2023</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24,499,999</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2,450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28,503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17,923,335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17,954,288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placement</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2,999,935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1,649,985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for the year</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3,140,068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3,140,068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declared</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(11,800,000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(11,800,000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reorganization</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(11,538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(11,538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June 30, 2024</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25,000,001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2,500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(1,350,000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3,016,900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9,263,403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10,932,803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Collection of subscription receivable</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 for the year</w:t>
            </w:r>
          </w:p>
        </w:tc>
        <w:tc>
          <w:tcPr>
            <w:tcW w:w="146" w:type="dxa"/>
            <w:tcBorders/>
            <w:vAlign w:val="bottom"/>
          </w:tcPr>
          <w:p>
            <w:pPr>
              <w:pStyle w:val="TableContents"/>
              <w:bidi w:val="0"/>
              <w:spacing w:before="0" w:after="283"/>
              <w:jc w:val="left"/>
              <w:rPr/>
            </w:pPr>
            <w:r>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3,104,267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3,104,267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public offering</w:t>
            </w:r>
          </w:p>
        </w:tc>
        <w:tc>
          <w:tcPr>
            <w:tcW w:w="146" w:type="dxa"/>
            <w:tcBorders/>
            <w:shd w:fill="CCEEFF" w:val="clear"/>
            <w:vAlign w:val="bottom"/>
          </w:tcPr>
          <w:p>
            <w:pPr>
              <w:pStyle w:val="TableContents"/>
              <w:bidi w:val="0"/>
              <w:spacing w:before="0" w:after="283"/>
              <w:jc w:val="left"/>
              <w:rPr/>
            </w:pPr>
            <w:r>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1,675,000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9,440,780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9,440,948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3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as of June 30, 2025</w:t>
            </w:r>
          </w:p>
        </w:tc>
        <w:tc>
          <w:tcPr>
            <w:tcW w:w="146" w:type="dxa"/>
            <w:tcBorders/>
            <w:vAlign w:val="bottom"/>
          </w:tcPr>
          <w:p>
            <w:pPr>
              <w:pStyle w:val="TableContents"/>
              <w:bidi w:val="0"/>
              <w:spacing w:before="0" w:after="283"/>
              <w:jc w:val="left"/>
              <w:rPr/>
            </w:pPr>
            <w:r>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26,675,001</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7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2,668</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12,457,680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12,367,670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24,828,018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Shares and per share data are presented on a retroactive basis to reflect the recapitalization as described in Note 12.</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combined and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310"/>
      <w:bookmarkEnd w:id="35"/>
      <w:r>
        <w:rPr>
          <w:rFonts w:ascii="Times New Roman PS Std;serif" w:hAnsi="Times New Roman PS Std;serif"/>
          <w:b/>
          <w:i w:val="false"/>
          <w:caps w:val="false"/>
          <w:smallCaps w:val="false"/>
          <w:sz w:val="20"/>
        </w:rPr>
        <w:t>INTERCONT (CAYMAN) LIMITED</w:t>
        <w:br/>
        <w:t>COMBINED AND CONSOLIDATED STATEMENTS OF CASH FLOWS</w:t>
        <w:br/>
        <w:t xml:space="preserve">(Expressed in U.S. Dollars — except for share data) </w:t>
      </w:r>
    </w:p>
    <w:tbl>
      <w:tblPr>
        <w:tblW w:w="10205" w:type="dxa"/>
        <w:jc w:val="left"/>
        <w:tblInd w:w="0" w:type="dxa"/>
        <w:tblLayout w:type="fixed"/>
        <w:tblCellMar>
          <w:top w:w="0" w:type="dxa"/>
          <w:left w:w="0" w:type="dxa"/>
          <w:bottom w:w="0" w:type="dxa"/>
          <w:right w:w="0" w:type="dxa"/>
        </w:tblCellMar>
      </w:tblPr>
      <w:tblGrid>
        <w:gridCol w:w="3593"/>
        <w:gridCol w:w="146"/>
        <w:gridCol w:w="301"/>
        <w:gridCol w:w="1486"/>
        <w:gridCol w:w="256"/>
        <w:gridCol w:w="146"/>
        <w:gridCol w:w="301"/>
        <w:gridCol w:w="1486"/>
        <w:gridCol w:w="256"/>
        <w:gridCol w:w="146"/>
        <w:gridCol w:w="301"/>
        <w:gridCol w:w="1486"/>
        <w:gridCol w:w="301"/>
      </w:tblGrid>
      <w:tr>
        <w:trPr/>
        <w:tc>
          <w:tcPr>
            <w:tcW w:w="359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466"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35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20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20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3,104,267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3,140,068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10,887,689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income to 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of vessels and property and equipment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3,701,462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3,651,694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3,464,821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debt issuance cost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59,959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50,425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71,397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operating lease right-of-use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3,026,967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2,905,872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2,789,731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deferred dry-docking cost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277,288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278,194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159,822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short-term investment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(100,869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Amortization of discount for long-term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67,350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84,585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operating assets and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663,242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(156,792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(103,889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receivable-related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(881,373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(136,942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266,716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(153,168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49,856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(552,292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133,121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85,810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 from customers-related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219,916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25,612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107,192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784,203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259,055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(126,970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(3,161,875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(2,913,790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(2,788,998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from related parties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(75,029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234,120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(637,438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related parties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(424,612</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(389,929</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deposit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7,401,485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6,477,442</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13,569,094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investing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time deposit through a related 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(21,500,000</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Withdraw of time deposit through a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12,500,000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9,500,000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for dry-docking cost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(818,697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investment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(10,200,000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 of long-lived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(1,053,967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(656,962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(11,995,575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provided by investing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(11,253,967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10,524,341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(23,995,575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59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received from a third-party, net of debt issuance cost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9,485,000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long-term loan from a third-party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(1,656,288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(2,986,048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(1,900,000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 of loan from related-party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liabilities-principal repayment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(3,387,164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(3,242,237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(3,229,300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to shareholders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(11,800,000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(3,869,368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Borrowing receipt from a related party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3,400,000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initial public offering</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10,634,261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IPO cost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(891,499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(287,835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private placement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1,350,000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1,649,985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loan deposit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(used in) financing activities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5,749,310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(16,666,135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3,411,332</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increase/(decrease) in cash</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1,896,828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335,648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(7,015,149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359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at beginning of year</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3,751,921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3,416,273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10,431,422</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9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at end of year</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5,648,749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3,751,921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3,416,273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COMBINED AND CONSOLIDATED STATEMENTS OF CASH FLOWS — (Continued)</w:t>
        <w:br/>
        <w:t>(Expressed in U.S. Dollars — except for share data)</w:t>
      </w:r>
    </w:p>
    <w:tbl>
      <w:tblPr>
        <w:tblW w:w="10205" w:type="dxa"/>
        <w:jc w:val="left"/>
        <w:tblInd w:w="0" w:type="dxa"/>
        <w:tblLayout w:type="fixed"/>
        <w:tblCellMar>
          <w:top w:w="0" w:type="dxa"/>
          <w:left w:w="0" w:type="dxa"/>
          <w:bottom w:w="0" w:type="dxa"/>
          <w:right w:w="0" w:type="dxa"/>
        </w:tblCellMar>
      </w:tblPr>
      <w:tblGrid>
        <w:gridCol w:w="5486"/>
        <w:gridCol w:w="146"/>
        <w:gridCol w:w="286"/>
        <w:gridCol w:w="1126"/>
        <w:gridCol w:w="146"/>
        <w:gridCol w:w="286"/>
        <w:gridCol w:w="1126"/>
        <w:gridCol w:w="146"/>
        <w:gridCol w:w="286"/>
        <w:gridCol w:w="1171"/>
      </w:tblGrid>
      <w:tr>
        <w:trPr/>
        <w:tc>
          <w:tcPr>
            <w:tcW w:w="54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57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54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5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information: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54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1,603,765</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2,344,212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2,309,052</w:t>
            </w:r>
          </w:p>
        </w:tc>
      </w:tr>
      <w:tr>
        <w:trPr/>
        <w:tc>
          <w:tcPr>
            <w:tcW w:w="54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Non-cash investing transactions: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54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 to fixed assets through long term account payable</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1,405,544</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48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Reclassification of deferred IPO cost to additional paid-in capital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1,193,313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4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warrant issued for underwriter services and reclassified to additional paid-in capital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386,644</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combined and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6" w:name="T311"/>
      <w:bookmarkEnd w:id="36"/>
      <w:r>
        <w:rPr>
          <w:rFonts w:ascii="Times New Roman PS Std;serif" w:hAnsi="Times New Roman PS Std;serif"/>
          <w:b/>
          <w:i w:val="false"/>
          <w:caps w:val="false"/>
          <w:smallCaps w:val="false"/>
          <w:sz w:val="20"/>
        </w:rPr>
        <w:t>INTERCONT (CAYMAN) LIMITED</w:t>
        <w:br/>
        <w:t>NOTES TO COMBINED AND CONSOLIDATED FINANCIAL STATEMENTS</w:t>
        <w:br/>
        <w:t xml:space="preserve">(Expressed in U.S. Dollars — except for share data)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 ORGANIZATION AND BUSINESS DESCRIPTION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(Cayman) Limited (“Intercont” or the “Company”) was established under the laws of the Cayman Islands on July 4, 2023 as a holding company. The Company, through its subsidiaries (collectively, the “Group”) listed below, are principally engaged time charter service and vessel management services business.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completion of the Reorganization, the Company’s subsidiaries are as follows:</w:t>
      </w:r>
    </w:p>
    <w:tbl>
      <w:tblPr>
        <w:tblW w:w="10205" w:type="dxa"/>
        <w:jc w:val="left"/>
        <w:tblInd w:w="0" w:type="dxa"/>
        <w:tblLayout w:type="fixed"/>
        <w:tblCellMar>
          <w:top w:w="0" w:type="dxa"/>
          <w:left w:w="0" w:type="dxa"/>
          <w:bottom w:w="0" w:type="dxa"/>
          <w:right w:w="0" w:type="dxa"/>
        </w:tblCellMar>
      </w:tblPr>
      <w:tblGrid>
        <w:gridCol w:w="2337"/>
        <w:gridCol w:w="146"/>
        <w:gridCol w:w="2011"/>
        <w:gridCol w:w="146"/>
        <w:gridCol w:w="1807"/>
        <w:gridCol w:w="146"/>
        <w:gridCol w:w="1397"/>
        <w:gridCol w:w="146"/>
        <w:gridCol w:w="2069"/>
      </w:tblGrid>
      <w:tr>
        <w:trPr/>
        <w:tc>
          <w:tcPr>
            <w:tcW w:w="23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Subsidiaries</w:t>
            </w:r>
          </w:p>
        </w:tc>
        <w:tc>
          <w:tcPr>
            <w:tcW w:w="146" w:type="dxa"/>
            <w:tcBorders/>
            <w:vAlign w:val="bottom"/>
          </w:tcPr>
          <w:p>
            <w:pPr>
              <w:pStyle w:val="TableContents"/>
              <w:bidi w:val="0"/>
              <w:spacing w:before="0" w:after="283"/>
              <w:jc w:val="left"/>
              <w:rPr/>
            </w:pPr>
            <w:r>
              <w:rPr/>
              <w:t> </w:t>
            </w:r>
          </w:p>
        </w:tc>
        <w:tc>
          <w:tcPr>
            <w:tcW w:w="20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Incorporation</w:t>
            </w:r>
          </w:p>
        </w:tc>
        <w:tc>
          <w:tcPr>
            <w:tcW w:w="146" w:type="dxa"/>
            <w:tcBorders/>
            <w:vAlign w:val="bottom"/>
          </w:tcPr>
          <w:p>
            <w:pPr>
              <w:pStyle w:val="TableContents"/>
              <w:bidi w:val="0"/>
              <w:spacing w:before="0" w:after="283"/>
              <w:jc w:val="left"/>
              <w:rPr/>
            </w:pPr>
            <w:r>
              <w:rPr/>
              <w:t> </w:t>
            </w:r>
          </w:p>
        </w:tc>
        <w:tc>
          <w:tcPr>
            <w:tcW w:w="180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Jurisdiction of </w:t>
              <w:br/>
              <w:t>Formation</w:t>
            </w:r>
          </w:p>
        </w:tc>
        <w:tc>
          <w:tcPr>
            <w:tcW w:w="146" w:type="dxa"/>
            <w:tcBorders/>
            <w:vAlign w:val="bottom"/>
          </w:tcPr>
          <w:p>
            <w:pPr>
              <w:pStyle w:val="TableContents"/>
              <w:bidi w:val="0"/>
              <w:spacing w:before="0" w:after="283"/>
              <w:jc w:val="left"/>
              <w:rPr/>
            </w:pPr>
            <w:r>
              <w:rPr/>
              <w:t> </w:t>
            </w:r>
          </w:p>
        </w:tc>
        <w:tc>
          <w:tcPr>
            <w:tcW w:w="13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 xml:space="preserve">direct/indirect </w:t>
              <w:br/>
              <w:t xml:space="preserve">Economic </w:t>
              <w:br/>
              <w:t>Ownership</w:t>
            </w:r>
          </w:p>
        </w:tc>
        <w:tc>
          <w:tcPr>
            <w:tcW w:w="146" w:type="dxa"/>
            <w:tcBorders/>
            <w:vAlign w:val="bottom"/>
          </w:tcPr>
          <w:p>
            <w:pPr>
              <w:pStyle w:val="TableContents"/>
              <w:bidi w:val="0"/>
              <w:spacing w:before="0" w:after="283"/>
              <w:jc w:val="left"/>
              <w:rPr/>
            </w:pPr>
            <w:r>
              <w:rPr/>
              <w:t> </w:t>
            </w:r>
          </w:p>
        </w:tc>
        <w:tc>
          <w:tcPr>
            <w:tcW w:w="206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Activities</w:t>
            </w:r>
          </w:p>
        </w:tc>
      </w:tr>
      <w:tr>
        <w:trPr/>
        <w:tc>
          <w:tcPr>
            <w:tcW w:w="23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Fortune Ocean Holdings Limited (“Fortune Ocean”)</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22, 2024</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British Virgin Islands (“BVI”)</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Holding</w:t>
            </w:r>
          </w:p>
        </w:tc>
      </w:tr>
      <w:tr>
        <w:trPr/>
        <w:tc>
          <w:tcPr>
            <w:tcW w:w="23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Wisdom Shipping Management Co., Limited (“Top Wisdom”)</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 2013</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w:t>
            </w:r>
          </w:p>
        </w:tc>
      </w:tr>
      <w:tr>
        <w:trPr/>
        <w:tc>
          <w:tcPr>
            <w:tcW w:w="23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 Shipping Limited (“Top Moral”)</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12, 2013</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service</w:t>
            </w:r>
          </w:p>
        </w:tc>
      </w:tr>
      <w:tr>
        <w:trPr/>
        <w:tc>
          <w:tcPr>
            <w:tcW w:w="23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Legend Shipping Co., Limited (“Top Legend”)</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6, 2013</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service</w:t>
            </w:r>
          </w:p>
        </w:tc>
      </w:tr>
      <w:tr>
        <w:trPr/>
        <w:tc>
          <w:tcPr>
            <w:tcW w:w="23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Creation International (HK) Limited (“Top Creation”)</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2011</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service</w:t>
            </w:r>
          </w:p>
        </w:tc>
      </w:tr>
      <w:tr>
        <w:trPr/>
        <w:tc>
          <w:tcPr>
            <w:tcW w:w="23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 Bright Marine Service Co., Limited (“Max Bright”)</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 2014</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service</w:t>
            </w:r>
          </w:p>
        </w:tc>
      </w:tr>
      <w:tr>
        <w:trPr/>
        <w:tc>
          <w:tcPr>
            <w:tcW w:w="2337"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 Openwindow Technology Pte. Ltd. (“Openwindow”)</w:t>
            </w:r>
          </w:p>
        </w:tc>
        <w:tc>
          <w:tcPr>
            <w:tcW w:w="146" w:type="dxa"/>
            <w:tcBorders/>
          </w:tcPr>
          <w:p>
            <w:pPr>
              <w:pStyle w:val="TableContents"/>
              <w:bidi w:val="0"/>
              <w:spacing w:before="0" w:after="283"/>
              <w:jc w:val="left"/>
              <w:rPr/>
            </w:pPr>
            <w:r>
              <w:rPr/>
              <w:t> </w:t>
            </w:r>
          </w:p>
        </w:tc>
        <w:tc>
          <w:tcPr>
            <w:tcW w:w="20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28, 2023</w:t>
            </w:r>
          </w:p>
        </w:tc>
        <w:tc>
          <w:tcPr>
            <w:tcW w:w="146" w:type="dxa"/>
            <w:tcBorders/>
          </w:tcPr>
          <w:p>
            <w:pPr>
              <w:pStyle w:val="TableContents"/>
              <w:bidi w:val="0"/>
              <w:spacing w:before="0" w:after="283"/>
              <w:jc w:val="left"/>
              <w:rPr/>
            </w:pPr>
            <w:r>
              <w:rPr/>
              <w:t> </w:t>
            </w:r>
          </w:p>
        </w:tc>
        <w:tc>
          <w:tcPr>
            <w:tcW w:w="180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tcPr>
          <w:p>
            <w:pPr>
              <w:pStyle w:val="TableContents"/>
              <w:bidi w:val="0"/>
              <w:spacing w:before="0" w:after="283"/>
              <w:jc w:val="left"/>
              <w:rPr/>
            </w:pPr>
            <w:r>
              <w:rPr/>
              <w:t> </w:t>
            </w:r>
          </w:p>
        </w:tc>
        <w:tc>
          <w:tcPr>
            <w:tcW w:w="1397"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6" w:type="dxa"/>
            <w:tcBorders/>
          </w:tcPr>
          <w:p>
            <w:pPr>
              <w:pStyle w:val="TableContents"/>
              <w:bidi w:val="0"/>
              <w:spacing w:before="0" w:after="283"/>
              <w:jc w:val="left"/>
              <w:rPr/>
            </w:pPr>
            <w:r>
              <w:rPr/>
              <w:t> </w:t>
            </w:r>
          </w:p>
        </w:tc>
        <w:tc>
          <w:tcPr>
            <w:tcW w:w="206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Process of pulp, paper and paperboard</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below, the Company, through a series of transactions which is accounted for as a reorganization of entities under a common control (the “Reorganization”), became the ultimate parent of its subsidiaries.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Reorganization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reorganization of the legal structure was completed on March 27, 2024. The reorganization involved: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formation of the Company’s wholly owned subsidiary-Openwindow on July 28, 2023</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formation of Fortune Ocean on January 22, 2024 and all the equity interests of Top Wisdom, Top Moral, Top Legend, Top Creation and Max Bright were transferred to Fortune Ocean on March 14, 2024</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All the shareholders’ equity interests in Fortune Ocean were transferred to the Company on March 27, 2024 under common control and at nominal 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Immediately before and after the reorganization, the Company, together with its subsidiaries, is effectively controlled by the same group of the shareholders. Therefore the reorganization is considered as a recapitalization of entities under common control in accordance with Accounting Standards Codification (“ASC”) 805-50-25. The combination and consolidation of the Company and its subsidiaries have been accounted for at historical cost and prepared on the basis as if the aforementioned transactions had become effective as of the beginning of the first period presented in the accompanying combined and consolidated financial statements in accordance with ASC 805-50-45-5.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 — ORGANIZATION AND BUSINESS DESCRIPTION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Going concern consideration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assessing its liquidity, the Group monitors and analyzes its cash on hand, ability to generate sufficient revenue sources in the future and operating and capital expenditure commitments. As of June 30, 2025, the Group had cash of approximately $5,648,749. As of June 30, 2025 and 2024, the Group’s working capital deficit was $15,688,971 and $30,294,954.</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historically funded its working capital needs primarily from operations, loans, advance payments from customers and contributions by shareholders. Its working capital requirements are affected by the efficiency of operations, the numerical volume and dollar value of revenue contracts and the timing of accounts receivable collections. The going concern status of the Company depends on its ability to generate sufficient cash flows to meet its obligations in a timely manner and to obtain additional income or debt as may be required and/or recurring financial support from shareholders or other related parties. The Group’s primary shareholders have agreed to provide financial support commitment to the Company until October 31, 2026. As of September 30, 2025, the Company had cash and cash equivalents of $8,285,084. As a result, management believes that current levels of cash and cash flows will be sufficient to meet anticipated cash needs for at least the next 12 months from the date of the issuance of this report. However, the Group may need additional cash resources in the future if it experiences changed business conditions or other developments and may also need additional cash resources in the future if it wishes to pursue opportunities for investment, acquisition, strategic cooperation or other similar actions. If the Group determine that the cash requirements exceed amounts of cash on hand, it may seek to issue debt or equity securities or obtain a credit facility.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Taking into account the ability for the Group to raise finances, the management has alleviated the substantial doubt about the Group’s ability to continue as a going concern.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SUMMARY OF SIGNIFICANT ACCOUNTING POLICIES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Basis of presentation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combined and consolidated financial statements have been prepared in accordance with accounting principles generally accepted in the United States of America (“U.S. GAAP”) and pursuant to the rules and regulations of the Securities Exchange Commission (“SEC”).</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Principles of combination and consolidation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reorganization in Note 1 (“the Reorganization”) was accounted for as restructuring of entities under common control, the accompanying combined and consolidated financial statements have been prepared by using historical cost basis and include the assets, liabilities, revenue, expenses and cash flows that were directly attributable to these entities for all periods presented. The financial statements presented herein represent (1) up until the date of the consummation of the Reorganization, the combined financial statements of the Company, Fortune Ocean, Top Wisdom, Top Moral, Top Legend, Top Creation and Openwindow; (2) subsequent to the consummation of the Reorganization, the consolidated financial statements of the Company and its subsidiaries. All intercompany transactions and balances have been eliminated upon consolidation.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Emerging Growth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optout is irrevocable. The Group has elected not to opt out of such extended transition period which means that when a standard is issued or revised and it has different application dates for public or private companies, the Group, as an emerging growth company, can adopt the new or revised standard at the time private companies adopt the new or revised standard. This may make comparison of the Group’s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Uses of estimates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preparing the combined and consolidated financial statements in conformity with U.S. GAAP, management makes estimates and assumptions that affect the reported amounts of assets and liabilities and disclosure of contingent assets and liabilities at the date of the financial statements and the reported amounts of revenues and expenses during the reporting period. These estimates are based on information as of the date of the combined and consolidated financial statements. Significant accounting estimates required to be made by management include, but are not limited to revenue recognition, impairment of long-lived assets and salvage value of the owned vessels. The Group evaluates its estimates and assumptions on an ongoing basis and its estimates on historical experience, current and expected future conditions and various other assumptions that management believes are reasonable under the circumstances based on the information available to management at the time these estimates and assumptions are made. Actual results and outcomes may differ significantly from these estimates and assumptions.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currency translation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functional currency of the Group is the U.S. dollar. The Group engages in international commerce with a variety of entities. Although its operations may expose it to certain levels of foreign currency risk, its transactions are predominantly U.S. dollar denominated and majority of the subsidiaries’ primary cash flows are U.S. dollar denominated. Transactions in currencies other than the functional currency are translated at the exchange rate in effect at the date of each transaction. Differences in exchange rates during the period between the date a transaction denominated in a foreign currency is consummated and the date on which it is either settled or translated, are recognized in the combined and consolidated statements of income.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of financial instruments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825-10 requires certain disclosures regarding the fair value of financial instruments. 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 inputs to the valuation methodology are quoted prices (unadjusted) for identical assets or liabilities in active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 inputs to the valuation methodology include quoted prices for similar assets and liabilities in active markets, quoted market prices for identical or similar assets in markets that are not active, inputs other than quoted prices that are observable and inputs derived from or corroborated by observable market data.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 inputs to the valuation methodology are unobservable.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disclosed, the fair value of the Group’s financial instruments, including cash, accounts receivable, prepayment and other assets, due from related parties, accounts payable, advance from customers, due to related parties, accrued expenses and current maturity of long-term loan approximates their recorded values. The Group determined that the carrying value of the long-term of loans approximated their fair value by comparing the stated loan interest rate to the rate charged by similar financial institutions.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comprises cash at banks and on hand, which includes deposits with original maturities of three months or less with commercial banks.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Expected credit losses of receivables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Group’s accounts receivable, other receivables (included in “prepayments and other current assets”) and due from related parties are within the scope of Accounting Standards Codification (“ASC”) 326. To estimate current expected credit losses, the Group has identified the relevant risk characteristics of its customers and the related receivables and other receivables which include size, type of the services the Group provides, or a combination of these characteristics. Receivables with similar risk characteristics have been grouped into pools. For each pool, the Group considers the past collection experience, any changes in customer collection trends, the credit worthiness of customers, the contractual and customary payment terms that generally range from 30 to 180 days, current economic conditions, and expectation of future economic conditions (external data and macroeconomic factors). Receivable balances are written off (i.e., charged-off against the allowance) when they are determined to be uncollectible after all means of collection have been exhausted and the potential for recovery is considered remote. The Group recorded current expected credit loss expense for accounts receivable amounted to nil for the years ended June 30, 2025, 2024 and 2023.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assets primarily consist of lease deposit, and employee advance, which are presented net of allowance for doubtful accounts. These balances are unsecured and are reviewed periodically to determine whether their carrying value has become impaired. The Group considers the balances to be impaired if the collectability of the balances becomes doubtful. The Group uses the loss-rate method to estimate the allowance for credit losses. The Group considers the past collection experience, any changes in collection trends, the credit worthiness of counter-parties, the contractual terms, current economic conditions, and expectation of future economic conditions. Actual amounts received or utilized may differ from management’s estimate of credit worthiness and the economic environment. Delinquent account balances are written off against allowance for credit losses after management has determined that the likelihood of collection is not probable. For the years ended June 30, 2025, 2024 and 2023, the Group provided allowance for credit losses of nil.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Property and equipment,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are recorded at cost. Depreciation is provided in amounts sufficient to amortize the cost of the related assets over their useful lives using the straight-line method, as follows:</w:t>
      </w:r>
    </w:p>
    <w:tbl>
      <w:tblPr>
        <w:tblW w:w="4618" w:type="dxa"/>
        <w:jc w:val="left"/>
        <w:tblInd w:w="0" w:type="dxa"/>
        <w:tblLayout w:type="fixed"/>
        <w:tblCellMar>
          <w:top w:w="0" w:type="dxa"/>
          <w:left w:w="0" w:type="dxa"/>
          <w:bottom w:w="0" w:type="dxa"/>
          <w:right w:w="0" w:type="dxa"/>
        </w:tblCellMar>
      </w:tblPr>
      <w:tblGrid>
        <w:gridCol w:w="3241"/>
        <w:gridCol w:w="146"/>
        <w:gridCol w:w="1231"/>
      </w:tblGrid>
      <w:tr>
        <w:trPr/>
        <w:tc>
          <w:tcPr>
            <w:tcW w:w="32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Useful life</w:t>
            </w:r>
          </w:p>
        </w:tc>
      </w:tr>
      <w:tr>
        <w:trPr/>
        <w:tc>
          <w:tcPr>
            <w:tcW w:w="32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Office and electronic equipment</w:t>
            </w:r>
          </w:p>
        </w:tc>
        <w:tc>
          <w:tcPr>
            <w:tcW w:w="146" w:type="dxa"/>
            <w:tcBorders/>
            <w:shd w:fill="CCEEFF" w:val="clear"/>
          </w:tcPr>
          <w:p>
            <w:pPr>
              <w:pStyle w:val="TableContents"/>
              <w:bidi w:val="0"/>
              <w:spacing w:before="0" w:after="283"/>
              <w:jc w:val="left"/>
              <w:rPr/>
            </w:pPr>
            <w:r>
              <w:rPr/>
              <w:t> </w:t>
            </w:r>
          </w:p>
        </w:tc>
        <w:tc>
          <w:tcPr>
            <w:tcW w:w="123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years</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recognized in the combined and consolidated statements of income in other income or expenses. Depreciation expense was $2,148, $1,609 and $1,745 for the years ended June 30, 2025, 2024 and 2023,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Vessels, net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are carried at historical cost less accumulated depreciation and impairment adjustments, if any. The depreciation on vessels is reviewed annually to ensure that the method and period used reflect the pattern in which the asset’s future economic benefits are expected to be consumed. The gross carrying amount of the vessel is the purchase price, including duties/taxes, borrowing costs and any other direct costs attributable to bringing it to the location and condition necessary for the vessels intended use. Capitalization of costs will cease once the vessel is in the location and condition necessary for it to be able to operate in the manner consistent with its intended design. Subsequent expenditures for conversions and major improvements are also capitalized when they appreciably extend the life, increase the earning capacity or improve the efficiency or safety of a vessel; otherwise, these amounts are charged to expense as incurred.</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is computed using the straight-line method over the estimated useful life of a vessel, after considering the estimated salvage value. Each vessel’s salvage value is equal to the product of its lightweight tonnage and estimated scrap rate. Salvage values are periodically reviewed and revised, if needed, to recognize changes in conditions, new regulations or for other reasons. Revisions of salvage value affect the depreciable amount of the vessels and affect depreciation expense in the period of the revision and future periods. Management estimates the useful life of its vessels to be 10 – 25 years from the date of their initial delivery from the shipyard.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under financing leases are also included in this caption on the combined and consolidated balance sheets.</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Impairment of long-lived assets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net, property and equipment, net and other long-lived assets held and used are reviewed periodically for potential impairment whenever events or changes in circumstances indicate that the carrying amount of a particular asset may not be fully recoverable. The Group evaluates the carrying amounts and periods over which long-lived assets are depreciated to determine if events or changes in circumstances have occurred that would require modification to their carrying values or useful lives. Measurement of the impairment loss is based on the fair value of the asset. The Group determines the fair value of its assets on the basis of management estimates and assumptions by making use of available market data and taking into consideration third party valuations performed on an individual vessel basis. In evaluating useful lives and carrying values of long-lived assets, certain indicators of potential impairment, are reviewed such as undiscounted projected operating cash flows, vessel market price, gross profit margin and overall market conditions.</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Undiscounted projected net operating cash flows are determined for each asset group and compared to the carrying value of the vessel, the unamortized portion of deferred drydock and other capitalized items, if any, related to the vessel. The Group has considered various indicators, including but not limited to, the market price of its long-lived assets, its contracted revenues and cash flows and the economic outlook.</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2024 and 2023, the Group concluded that events and circumstances did not trigger the existence of potential impairment of its vessels and other long-lived assets and that step one of the impairment analysis was not required.</w:t>
      </w:r>
    </w:p>
    <w:p>
      <w:pPr>
        <w:pStyle w:val="TextBody"/>
        <w:keepNext w:val="true"/>
        <w:pageBreakBefore w:val="false"/>
        <w:widowControl/>
        <w:pBdr/>
        <w:bidi w:val="0"/>
        <w:spacing w:before="18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dry docking cost, net</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Vessels are subject to regularly scheduled drydocking and special surveys which are generally carried out every 60 months, depending on the vessels’ ages to coincide with the renewal of the related certificates issued by the classification societies, unless a further extension is obtained in rare cases and under certain conditions. The cost of drydocking and special surveys are deferred and amortized over the above periods or to the next drydocking or special survey date if such date has been determined.</w:t>
      </w:r>
    </w:p>
    <w:p>
      <w:pPr>
        <w:pStyle w:val="TextBody"/>
        <w:keepNext w:val="false"/>
        <w:pageBreakBefore w:val="false"/>
        <w:widowControl/>
        <w:pBdr/>
        <w:bidi w:val="0"/>
        <w:spacing w:before="1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Costs capitalized as part of the drydocking consist principally of the actual costs incurred at the yard, and expenses relating to spare parts, paints, lubricants and services incurred solely during the drydocking or special survey period. As of June 30, 2025 and 2024, the deferred dry-docking cost, net was $682,637 and $959,924, respectively. For the years ended June 30, 2025, 2024 and 2023, the amortization expense for the deferred dry-docking costs amounted to $277,288, $278,194 and $159,822,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Short term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Short-term investments consist of the Group’s investment in private funds. The private equity fund, over which the Group does not have the ability to exercise significant influence, is accounted for under the practical expedient in ASC Topic 820, Fair Value Measurement (“ASC 820”) to estimate fair value using the net asset value per share (or its equivalent) of the investment (“NAV practical expedient”). The Company currently does not hold any investments that do not qualify for the NAV practical expedient.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Deferred IPO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IPO costs consist of underwriting, legal and other expenses incurred through the balance sheet date that are directly related to the proposed offering and that would be charged to shareholders’ equity upon the completion of the proposed offering. As of June 30, 2025 and 2024, the deferred IPO costs were $nil and $287,835,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Reclassifications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prior period balances have been reclassified to conform to the current period presentation in the combined and consolidated financial statements and the accompanying notes. These reclassifications had no effect on previously reported net income (loss), total assets, or shareholders’ equity.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Revenue recognition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is engaged in vessels rental and management services and primarily derives its revenue from time charter contracts and provides vessel management service.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 2019, the Group has adopted ASC 842 “Leases” and ASU 2014-09, Revenue from Contracts with Customers (ASC 606) and all subsequent ASUs that modified ASC 606 using the modified retrospective approach.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the Group applies the following steps: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1: Identify the contract(s) with a customer</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2: Identify the performance obligations in the contract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3: Determine the transaction price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4: Allocate the transaction price to the performance obligations in the contract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Step 5: Recognize revenue when (or as) the entity satisfies a performance obligation</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Time charter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time charter is a type of contract that is entered into for the use of such vessel as well as such vessel’s operations for a specific period of time at a specified daily charter hire rate. Charter durations may range from one month to two years. The Group accounts for its time charter contracts as operating leases pursuant to ASC 842 “Leases”. The Group has determined that the non-lease component in its time charter contracts relates to services for the operation of the vessel, which comprise of crew, technical and safety services, among others. The Group further elected to adopt the above discussed optional practical expedient and recognize lease revenue as a combined single lease component for all time charter contracts (operating leases) since it made a determination that the related lease component and non-lease component have the same timing and pattern of transfer during lease term of each vessel and the predominant component is the lease. Lease revenues are recognized on a straight-line basis over the rental periods of such charter agreements, as rental service is provided, beginning when a vessel is delivered to the charterer until it is redelivered back to the Group, and is recorded as time charter revenues.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operating costs incurred during the leasing period for the maintenance and operation of the vessels such as for crews, maintenance and insurance are typically paid by the Group are expensed as incurred as the timing and pattern of transfer of the components are identical to the operating lease revenue earned from the charter hire.</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Vessel management services revenue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contracts with various customers to carry out vessel management services. Vessel management services consists of assignment of the Group’s crew team member to the customers’ vessels for their operation and provision of dry-docking, lubricating oil, spare parts procurement and other maintenance services over the contract term. Most of the vessel management services agreements have a term more than one year and are typically billed on a monthly basis. The Group provides the services to the customer and satisfies its performance obligation over the term of the contract.</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Disaggregation of Revenues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2024 and 2023, the disaggregated revenues by revenue streams were as follows:</w:t>
      </w:r>
    </w:p>
    <w:tbl>
      <w:tblPr>
        <w:tblW w:w="8935" w:type="dxa"/>
        <w:jc w:val="left"/>
        <w:tblInd w:w="0" w:type="dxa"/>
        <w:tblLayout w:type="fixed"/>
        <w:tblCellMar>
          <w:top w:w="0" w:type="dxa"/>
          <w:left w:w="0" w:type="dxa"/>
          <w:bottom w:w="0" w:type="dxa"/>
          <w:right w:w="0" w:type="dxa"/>
        </w:tblCellMar>
      </w:tblPr>
      <w:tblGrid>
        <w:gridCol w:w="3856"/>
        <w:gridCol w:w="146"/>
        <w:gridCol w:w="286"/>
        <w:gridCol w:w="1246"/>
        <w:gridCol w:w="146"/>
        <w:gridCol w:w="286"/>
        <w:gridCol w:w="1246"/>
        <w:gridCol w:w="146"/>
        <w:gridCol w:w="286"/>
        <w:gridCol w:w="1291"/>
      </w:tblGrid>
      <w:tr>
        <w:trPr/>
        <w:tc>
          <w:tcPr>
            <w:tcW w:w="385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93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385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Time charter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19,306,369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19,613,798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27,042,943</w:t>
            </w:r>
          </w:p>
        </w:tc>
      </w:tr>
      <w:tr>
        <w:trPr/>
        <w:tc>
          <w:tcPr>
            <w:tcW w:w="38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Vessel management services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5,829,312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5,913,138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5,402,614</w:t>
            </w:r>
          </w:p>
        </w:tc>
      </w:tr>
      <w:tr>
        <w:trPr/>
        <w:tc>
          <w:tcPr>
            <w:tcW w:w="38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25,135,681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25,526,936</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32,445,557</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2024 and 2023, the disaggregated revenues by customer location were as follows:</w:t>
      </w:r>
    </w:p>
    <w:tbl>
      <w:tblPr>
        <w:tblW w:w="6895" w:type="dxa"/>
        <w:jc w:val="left"/>
        <w:tblInd w:w="0" w:type="dxa"/>
        <w:tblLayout w:type="fixed"/>
        <w:tblCellMar>
          <w:top w:w="0" w:type="dxa"/>
          <w:left w:w="0" w:type="dxa"/>
          <w:bottom w:w="0" w:type="dxa"/>
          <w:right w:w="0" w:type="dxa"/>
        </w:tblCellMar>
      </w:tblPr>
      <w:tblGrid>
        <w:gridCol w:w="1816"/>
        <w:gridCol w:w="146"/>
        <w:gridCol w:w="286"/>
        <w:gridCol w:w="1246"/>
        <w:gridCol w:w="146"/>
        <w:gridCol w:w="286"/>
        <w:gridCol w:w="1246"/>
        <w:gridCol w:w="146"/>
        <w:gridCol w:w="286"/>
        <w:gridCol w:w="1291"/>
      </w:tblGrid>
      <w:tr>
        <w:trPr/>
        <w:tc>
          <w:tcPr>
            <w:tcW w:w="181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93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181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1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Singapore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19,306,369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12,281,701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18,020,107</w:t>
            </w:r>
          </w:p>
        </w:tc>
      </w:tr>
      <w:tr>
        <w:trPr/>
        <w:tc>
          <w:tcPr>
            <w:tcW w:w="1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Hong Kong S.A.R.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4,068,128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4,088,106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4,262,950</w:t>
            </w:r>
          </w:p>
        </w:tc>
      </w:tr>
      <w:tr>
        <w:trPr/>
        <w:tc>
          <w:tcPr>
            <w:tcW w:w="1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BVI</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4,755,737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6,243,123</w:t>
            </w:r>
          </w:p>
        </w:tc>
      </w:tr>
      <w:tr>
        <w:trPr/>
        <w:tc>
          <w:tcPr>
            <w:tcW w:w="1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countries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1,761,184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4,401,392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3,919,377</w:t>
            </w:r>
          </w:p>
        </w:tc>
      </w:tr>
      <w:tr>
        <w:trPr/>
        <w:tc>
          <w:tcPr>
            <w:tcW w:w="1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25,135,681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25,526,936</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32,445,557</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contract liability exists when the Group has received consideration prior to it being earned. These amounts are recognized as revenue over the charter period. As of June 30, 2025, and2024, contract liabilities amounted to $433,125, and $213,209, respectively, which were presented as “advance from customers-related party” in balance sheet. All contract liabilities as of June 30, 2024 have been recognized as revenue for the year ended June 30, 2025. As of June 30, 2023, contract liabilities amounted to $187,597, which was presented as “advance from customers” in balance sheet. All contract liabilities as of June 30, 2023 have been recognized as revenue for the year ended June 30,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Leases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lease contracts for vessels and office space. Leases are classified as either operating leases or finance leases, based on an assessment of the terms of the lease. The Group records lease liabilities and right-of-use assets on its combined and consolidated balance sheets at lease commencement. The Group measures its lease liabilities based on the present value of the total lease payments not yet paid discounted based on the more readily determinable of the rate implicit in the lease or its incremental borrowing rate, which is the estimated rate the Group would be required to pay for a collateralized borrowing equal to the total lease payments over the term of the lease. The Group estimates its incremental borrowing rate based on an analysis of weighted average interest rate of its own bank loan. The Group measures right-of-use assets based on the corresponding lease liability adjusted for payments made to the lessor at or before the commencement date, and initial direct costs it incurs under the lease. The Group begins recognizing lease expense when the lessor makes the underlying asset available to the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leases with a lease term not more than one year and without a purchase option (short-term leases), the Group records operating lease expense in its combined and consolidated statements of income on a straight-line basis over the lease term and record variable lease payments as incurred.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accounts for current income taxes in accordance with the laws of the relevant tax authorities. Deferred income taxes are recognized when temporary differences exist between the tax bases of assets and liabilities and their reported amounts in the combined and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period incurred.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Earnings per share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computes earnings per share (“EPS”) in accordance with ASC 260, “Earnings per Share” (“ASC 260”). ASC 260 requires companies with complex capital structures to present basic and diluted EPS. Basic EPS is measured as net income divided by the weighted average ordinary shares outstanding for the period. Diluted presents the dilutive effect on a per share basis of potential ordinary shares (e.g., convertible securities, options and warrants) as if they had been converted at the beginning of the periods presented, or issuance date, if later. Potential ordinary shares that have an anti-dilutive effect (i.e., those that increase income per share or decrease loss per share) are excluded from the calculation of diluted EPS. For the years ended June 30, 2025, 2024 and 2023, the weighted average number of shares used in the basic and diluted earnings per share calculation were 25,414,248, 24,613,698 and 24,499,999,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Segment reporting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280, “Segment Reporting”, establishes standards for reporting information about operating segments on a basis consistent with the Group’s internal organizational structure as well as information about geographical areas, business segments and major customers in financial statements for details on the Group’s business segments. The Group uses the “management approach” in determining reportable operating segments. The management approach considers the internal organization and reporting used by the Group’s CODM for making operating decisions and assessing performance as the source for determining the Group’s reportable segments. The Chief Executive Officer is identified as the chief operating decision maker (CODM). The management, including the chief operating decision maker, measures performance based on our overall return to shareholders based on combined net income. Although separate vessel financial information is available, the CODM internally evaluates the performance of the Group as a whole and not on the basis of separate business units, as a result, the Group has determined that it operates as one reportable segment.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CODM does not review segment assets and segment expenses at a level different than what is reported in the Company’s Combined and Consolidated Balance Sheets and Combined and Consolidated Statements of Income. Additionally, the CODM regularly receives information about the Company’s capital expenditures which are reported in the Company’s Combined and Consolidated Statement of Cash Flows as purchase of long-lived assets under investing activities.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other segment items include research and development expenses related to seaborne innovational business with current research direction of seaborne pulping for the years ended June 30, 2025, 2024 and 2023.</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2024 and 2023, all revenue is generated outside of the United States. For disaggregated revenues by revenue streams and customer location, please see Revenue Recognition above.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long-lived assets consist primarily of vessels and property and equipment, all of which are located in outside of the United States.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Concentrations of risks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Concentration of credit risk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that potentially subject the Group to a significant concentration of credit risk primarily consist of cash and other current assets. The maximum exposure of such assets to credit risk is their carrying amounts at the balance sheet dates. As of June 30, 2025, and 2024, the aggregate amount of cash of $5,441,407 and $3,411,646, respectively, was held at major financial institutions in Singapore. The Group believes that no significant credit risk exists as all of the Group’s cash are held with financial institutions in Singapore of high credit quality. Deposits are insured by the Singapore Deposit Insurance Corporation, for up to 100,000 Singapore Dollar (approximately $78,000) in aggregate per depositor. As of June 30, 2025 and 2024, the Company’s uninsured cash balance was approximately $5,478,297 and $3,609,211, respectively. The Group conducts credit evaluations of its customers and suppliers, and generally does not require collateral or other security from them. The Group establishes an accounting policy to provide for allowance for credit loss based on the individual customer’s and supplier’s financial condition, credit history, and the current economic conditions.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Significant customers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June 30, 2025, Customer A (Topsheen Shipping Singapore Pte. Ltd., a related party) accounted for approximately 74% of the Group’s total revenues. For the year ended June 30, 2024, Customer A (Topsheen Shipping Singapore Pte. Ltd., a related party) and Customer B accounted for approximately 48% and 19%, respectively, of the Group’s total revenues. For the year ended June 30, 2023, Customer A (Topsheen Shipping Singapore Pte. Ltd., a related party), Customer B and Customer C accounted for approximately 43%, 19% and 12%, respectively, of the Group’s total revenues. As of June 30, 2025, Customer A (Topsheen Shipping Singapore Pte. Ltd., a related party), Customer D, Customer G (Meida Shipping Co., Limited, a related party) and Customer E (Tongda Shipping Co., Limited, a related party) accounted for approximately 47%, 22%, 12%and 11%, respectively, of the Group’s accounts receivable and accounts receivable-related parties. As of June 30, 2024, Customer D, Customer F (Keen Best Shipping Co Limited, a related party) and Customer A (Topsheen Shipping Singapore Pte. Ltd., a related party) accounted for approximately 66%, 22% and 12%, respectively, of the Group’s accounts receivable and accounts receivable-related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Significant suppliers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 ended June 30, 2025, Supplier A accounted for approximately 14% of the Group’s total cost of revenues. For the year ended June 30, 2024, Supplier A accounted for approximately 16% of the Group’s total cost of revenues. For the year ended June 30, 2023, Supplier A and Supplier B accounted for approximately 20% and 12% of the Group’s total cost of revenues, respectively. As of June 30, 2025 and 2024, no supplier accounted for more than 10% of the Group’s total accounts payable.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2 —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 Accounting Pronouncements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considers the applicability and impact of all accounting standards updates (“ASUs”). Management periodically reviews new accounting standards that are issued.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2019, the FASB issued ASU No. 2019-12, Income Taxes (Topic 740) — Simplifying the Accounting for Income Taxes. ASU 2019-12 is intended to simplify accounting for income taxes. It removes certain exceptions to the general principles in Topic 740 and amends existing guidance to improve consistent application. ASU 2019-12 is effective for fiscal years beginning after December 15, 2020 and interim periods within those fiscal years. The adoption of this guidance did not have a material impact on the Group’s combined and consolidated financial statements. In December 2023, the Financial Accounting Standards Board (“FASB”) issued ASU 2023-09, “Income Taxes (Topic 740): Improvements to Income Tax Disclosures” (“ASU 2023-09”). This ASU requires that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A public entity should apply the amendments in ASU 2023-09 prospectively to all annual periods beginning after December 15, 2024. The Group is currently evaluating these new disclosure requirements and does not expect the adoption to have a material impact.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2023, the FASB issued ASU 2023-07, Segment Reporting (Topic 280). The amendments in this ASU require disclosures, on an annual and interim basis, of significant segment expenses that are regularly provided to the chief operating decision maker (CODM), as well as the aggregate amount of other segment items included in the reported measure of segment profit or loss. This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ASU 2023-07 is effective for fiscal years beginning after December 15, 2023, and interim periods within fiscal years beginning after December 15, 2024, and requires retrospective adoption. The Company adopted ASU 2023-07 as of July 1, 2024. The adoption of this guidance did not have a material impact on the Group’s combined and consolidated financial statements.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2024, the FASB issued ASU 2024-02, Codification Improvements — Amendments to Remove References to the Concepts Statements. The amendments in ASU 2024-02 contain amendments to the Codification that remove references to various FASB Concepts Statements. Following the release of ASU 2024-02 in March 2024, the effective date will be annual reporting periods beginning after December 15, 2024. The Group is currently evaluating these new disclosure requirements and does not expect the adoption to have a material impact.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does not believe other recently issued but not yet effective accounting standards, if currently adopted, would have a material effect on the Group’s combined and consolidated balance sheets, statements of income and statements of cash flows.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PREPAYMENTS AND OTHER ASSETS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current assets consisted of the following:</w:t>
      </w:r>
    </w:p>
    <w:tbl>
      <w:tblPr>
        <w:tblW w:w="5052" w:type="dxa"/>
        <w:jc w:val="left"/>
        <w:tblInd w:w="0" w:type="dxa"/>
        <w:tblLayout w:type="fixed"/>
        <w:tblCellMar>
          <w:top w:w="0" w:type="dxa"/>
          <w:left w:w="0" w:type="dxa"/>
          <w:bottom w:w="0" w:type="dxa"/>
          <w:right w:w="0" w:type="dxa"/>
        </w:tblCellMar>
      </w:tblPr>
      <w:tblGrid>
        <w:gridCol w:w="2251"/>
        <w:gridCol w:w="146"/>
        <w:gridCol w:w="286"/>
        <w:gridCol w:w="946"/>
        <w:gridCol w:w="146"/>
        <w:gridCol w:w="286"/>
        <w:gridCol w:w="991"/>
      </w:tblGrid>
      <w:tr>
        <w:trPr/>
        <w:tc>
          <w:tcPr>
            <w:tcW w:w="22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2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 to crew</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172,133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267,165</w:t>
            </w:r>
          </w:p>
        </w:tc>
      </w:tr>
      <w:tr>
        <w:trPr/>
        <w:tc>
          <w:tcPr>
            <w:tcW w:w="2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Advance to employee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57,408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211,375</w:t>
            </w:r>
          </w:p>
        </w:tc>
      </w:tr>
      <w:tr>
        <w:trPr/>
        <w:tc>
          <w:tcPr>
            <w:tcW w:w="2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deposit(1)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2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58,810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76,530</w:t>
            </w:r>
          </w:p>
        </w:tc>
      </w:tr>
      <w:tr>
        <w:trPr/>
        <w:tc>
          <w:tcPr>
            <w:tcW w:w="22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788,351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555,070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 PREPAYMENTS AND OTHER ASSETS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Prepayments and other non-current assets consisted of the following:</w:t>
      </w:r>
    </w:p>
    <w:tbl>
      <w:tblPr>
        <w:tblW w:w="5277" w:type="dxa"/>
        <w:jc w:val="left"/>
        <w:tblInd w:w="0" w:type="dxa"/>
        <w:tblLayout w:type="fixed"/>
        <w:tblCellMar>
          <w:top w:w="0" w:type="dxa"/>
          <w:left w:w="0" w:type="dxa"/>
          <w:bottom w:w="0" w:type="dxa"/>
          <w:right w:w="0" w:type="dxa"/>
        </w:tblCellMar>
      </w:tblPr>
      <w:tblGrid>
        <w:gridCol w:w="2476"/>
        <w:gridCol w:w="146"/>
        <w:gridCol w:w="286"/>
        <w:gridCol w:w="946"/>
        <w:gridCol w:w="146"/>
        <w:gridCol w:w="286"/>
        <w:gridCol w:w="991"/>
      </w:tblGrid>
      <w:tr>
        <w:trPr/>
        <w:tc>
          <w:tcPr>
            <w:tcW w:w="24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24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Rental deposit(1)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w:t>
            </w:r>
          </w:p>
        </w:tc>
      </w:tr>
      <w:tr>
        <w:trPr/>
        <w:tc>
          <w:tcPr>
            <w:tcW w:w="247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Loan security deposit(2)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r>
      <w:tr>
        <w:trPr/>
        <w:tc>
          <w:tcPr>
            <w:tcW w:w="24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475,000</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975,000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Rental deposit represents a deposit of $500,000 paid to the lessor of Top Advancer (see Note 8), which is expected to be received in December 2025 upon the lease’s expiration.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This is long-term loan security deposit of $475,000, which is expected to be collected at the end of long-term loan agreement (see Note 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VESSELS, NET</w:t>
      </w:r>
    </w:p>
    <w:tbl>
      <w:tblPr>
        <w:tblW w:w="8217" w:type="dxa"/>
        <w:jc w:val="left"/>
        <w:tblInd w:w="0" w:type="dxa"/>
        <w:tblLayout w:type="fixed"/>
        <w:tblCellMar>
          <w:top w:w="0" w:type="dxa"/>
          <w:left w:w="0" w:type="dxa"/>
          <w:bottom w:w="0" w:type="dxa"/>
          <w:right w:w="0" w:type="dxa"/>
        </w:tblCellMar>
      </w:tblPr>
      <w:tblGrid>
        <w:gridCol w:w="2581"/>
        <w:gridCol w:w="146"/>
        <w:gridCol w:w="286"/>
        <w:gridCol w:w="1246"/>
        <w:gridCol w:w="146"/>
        <w:gridCol w:w="286"/>
        <w:gridCol w:w="1321"/>
        <w:gridCol w:w="241"/>
        <w:gridCol w:w="146"/>
        <w:gridCol w:w="286"/>
        <w:gridCol w:w="1246"/>
        <w:gridCol w:w="286"/>
      </w:tblGrid>
      <w:tr>
        <w:trPr/>
        <w:tc>
          <w:tcPr>
            <w:tcW w:w="25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Cost</w:t>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Depreciation</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Value</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Vessels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68,191,736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(13,377,069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54,814,667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2,059,036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(3,650,085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(1,591,049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70,250,772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(17,027,154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53,223,618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198,124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(3,699,314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(3,501,190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2025</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70,448,896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(20,726,468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49,722,428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balances as of June 30, 2025 and 2024 are analyzed in the following tables:</w:t>
      </w:r>
    </w:p>
    <w:tbl>
      <w:tblPr>
        <w:tblW w:w="8097" w:type="dxa"/>
        <w:jc w:val="left"/>
        <w:tblInd w:w="0" w:type="dxa"/>
        <w:tblLayout w:type="fixed"/>
        <w:tblCellMar>
          <w:top w:w="0" w:type="dxa"/>
          <w:left w:w="0" w:type="dxa"/>
          <w:bottom w:w="0" w:type="dxa"/>
          <w:right w:w="0" w:type="dxa"/>
        </w:tblCellMar>
      </w:tblPr>
      <w:tblGrid>
        <w:gridCol w:w="2581"/>
        <w:gridCol w:w="146"/>
        <w:gridCol w:w="286"/>
        <w:gridCol w:w="1246"/>
        <w:gridCol w:w="146"/>
        <w:gridCol w:w="286"/>
        <w:gridCol w:w="1201"/>
        <w:gridCol w:w="241"/>
        <w:gridCol w:w="146"/>
        <w:gridCol w:w="286"/>
        <w:gridCol w:w="1246"/>
        <w:gridCol w:w="286"/>
      </w:tblGrid>
      <w:tr>
        <w:trPr/>
        <w:tc>
          <w:tcPr>
            <w:tcW w:w="25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Cost</w:t>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Depreciation</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Value</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Owned Vessel*</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14,094,790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(758,229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13,336,561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(866,547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(866,547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14,094,790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(1,624,776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12,470,014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5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(866,547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(866,547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5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2025</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14,094,790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(2,491,323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11,603,467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4044"/>
        <w:gridCol w:w="146"/>
        <w:gridCol w:w="301"/>
        <w:gridCol w:w="1396"/>
        <w:gridCol w:w="146"/>
        <w:gridCol w:w="301"/>
        <w:gridCol w:w="1486"/>
        <w:gridCol w:w="256"/>
        <w:gridCol w:w="146"/>
        <w:gridCol w:w="301"/>
        <w:gridCol w:w="1396"/>
        <w:gridCol w:w="286"/>
      </w:tblGrid>
      <w:tr>
        <w:trPr/>
        <w:tc>
          <w:tcPr>
            <w:tcW w:w="404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Cost</w:t>
            </w:r>
          </w:p>
        </w:tc>
        <w:tc>
          <w:tcPr>
            <w:tcW w:w="146" w:type="dxa"/>
            <w:tcBorders/>
            <w:vAlign w:val="bottom"/>
          </w:tcPr>
          <w:p>
            <w:pPr>
              <w:pStyle w:val="TableContents"/>
              <w:bidi w:val="0"/>
              <w:spacing w:before="0" w:after="283"/>
              <w:jc w:val="left"/>
              <w:rPr/>
            </w:pPr>
            <w:r>
              <w:rPr/>
              <w:t> </w:t>
            </w:r>
          </w:p>
        </w:tc>
        <w:tc>
          <w:tcPr>
            <w:tcW w:w="20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Accumulated </w:t>
              <w:br/>
              <w:t>Depreciation</w:t>
            </w:r>
          </w:p>
        </w:tc>
        <w:tc>
          <w:tcPr>
            <w:tcW w:w="146" w:type="dxa"/>
            <w:tcBorders/>
            <w:vAlign w:val="bottom"/>
          </w:tcPr>
          <w:p>
            <w:pPr>
              <w:pStyle w:val="TableContents"/>
              <w:bidi w:val="0"/>
              <w:spacing w:before="0" w:after="283"/>
              <w:jc w:val="left"/>
              <w:rPr/>
            </w:pPr>
            <w:r>
              <w:rPr/>
              <w:t> </w:t>
            </w:r>
          </w:p>
        </w:tc>
        <w:tc>
          <w:tcPr>
            <w:tcW w:w="19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Net Book </w:t>
              <w:br/>
              <w:t>Value</w:t>
            </w:r>
          </w:p>
        </w:tc>
      </w:tr>
      <w:tr>
        <w:trPr/>
        <w:tc>
          <w:tcPr>
            <w:tcW w:w="40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Right-of-use assets under finance lease**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8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0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54,096,946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(12,618,840</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41,478,106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2,059,036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(2,783,538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(724,502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56,155,982</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(15,402,378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40,753,604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0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198,124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(2,832,767</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(2,634,643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0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June 30, 2025</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56,354,106</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(18,235,145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38,118,961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Owned Vessel:</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On August 14, 2022, the Group took delivery of the Top Brilliance, a 2008-built vessel of 56,823 dwt (Deadweight Tonnage), from an unrelated third party, for an acquisition cost of $14,094,790. Depreciation expense amounted to $866,547, $866,547 and $758,229 for the years ended June 30, 2025, 2024 and 2023,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 VESSELS, NET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i w:val="false"/>
          <w:caps w:val="false"/>
          <w:smallCaps w:val="false"/>
          <w:sz w:val="18"/>
        </w:rPr>
        <w:t>**      Right-of-use</w:t>
      </w:r>
      <w:r>
        <w:rPr>
          <w:rFonts w:ascii="Times New Roman PS Std;serif" w:hAnsi="Times New Roman PS Std;serif"/>
          <w:b w:val="false"/>
          <w:i w:val="false"/>
          <w:caps w:val="false"/>
          <w:smallCaps w:val="false"/>
          <w:sz w:val="18"/>
        </w:rPr>
        <w:t xml:space="preserve"> </w:t>
      </w:r>
      <w:r>
        <w:rPr>
          <w:rFonts w:ascii="Times New Roman PS Std;serif" w:hAnsi="Times New Roman PS Std;serif"/>
          <w:b/>
          <w:i w:val="false"/>
          <w:caps w:val="false"/>
          <w:smallCaps w:val="false"/>
          <w:sz w:val="18"/>
        </w:rPr>
        <w:t>assets under finance lease: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 September, 2018, the Group took delivery of Top Diligence, a 2018-built Dry Cargo vessel of 48,500 dwt, for a 10-year bareboat charter-in agreement. The bareboat charter-in provides for purchase obligation with a bargain purchase price at the end of 10-year charter period. The Group accounted for the vessel as finance lease and recorded right-of-use assets of $26,821,639 and financing lease liabilities of $17,710,000 on the lease beginning date. (see Note 8)</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 January, 2019, the Group took delivery of Top Elegance, a 2019-built Dry Cargo vessel of 48,500 dwt, for a 10-year bareboat charter-in agreement. The bareboat charter-in provides for purchase obligation with a bargain purchase price at the end of 10-year charter period. The Group accounted for the vessel as finance lease and recorded right-of-use assets of $27,275,307 and financing lease liabilities of $17,710,000 on the lease beginning date. (see Note 8)</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During the year ended June 30, 2024, the Group completed the installation of desulfurizing towers on Top Diligence and Top Elegance. The original value of $2,059,036 is depreciated during the useful life.</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Depreciation expense for the vessels under finance lease was $2,832,767, $2,783,538 and $2,704,847 for the years ended June 30, 2025, 2024 and 2023, respectively.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 </w:t>
      </w:r>
      <w:r>
        <w:rPr>
          <w:rFonts w:ascii="Times New Roman PS Std;serif" w:hAnsi="Times New Roman PS Std;serif"/>
          <w:b/>
          <w:i w:val="false"/>
          <w:caps/>
          <w:sz w:val="20"/>
        </w:rPr>
        <w:t>Short term investment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2025 and 2024, the Group’s short-term investments are comprised of the following:</w:t>
      </w:r>
    </w:p>
    <w:tbl>
      <w:tblPr>
        <w:tblW w:w="5395" w:type="dxa"/>
        <w:jc w:val="left"/>
        <w:tblInd w:w="0" w:type="dxa"/>
        <w:tblLayout w:type="fixed"/>
        <w:tblCellMar>
          <w:top w:w="0" w:type="dxa"/>
          <w:left w:w="0" w:type="dxa"/>
          <w:bottom w:w="0" w:type="dxa"/>
          <w:right w:w="0" w:type="dxa"/>
        </w:tblCellMar>
      </w:tblPr>
      <w:tblGrid>
        <w:gridCol w:w="2476"/>
        <w:gridCol w:w="146"/>
        <w:gridCol w:w="286"/>
        <w:gridCol w:w="1246"/>
        <w:gridCol w:w="146"/>
        <w:gridCol w:w="425"/>
        <w:gridCol w:w="670"/>
      </w:tblGrid>
      <w:tr>
        <w:trPr/>
        <w:tc>
          <w:tcPr>
            <w:tcW w:w="247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0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24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Private investment fund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10,300,869</w:t>
            </w:r>
          </w:p>
        </w:tc>
        <w:tc>
          <w:tcPr>
            <w:tcW w:w="146" w:type="dxa"/>
            <w:tcBorders/>
            <w:shd w:fill="CCEEFF" w:val="clear"/>
            <w:vAlign w:val="bottom"/>
          </w:tcPr>
          <w:p>
            <w:pPr>
              <w:pStyle w:val="TableContents"/>
              <w:bidi w:val="0"/>
              <w:spacing w:before="0" w:after="283"/>
              <w:jc w:val="left"/>
              <w:rPr/>
            </w:pPr>
            <w:r>
              <w:rPr/>
              <w:t> </w:t>
            </w:r>
          </w:p>
        </w:tc>
        <w:tc>
          <w:tcPr>
            <w:tcW w:w="4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 2025, the Group paid $10,200,000 in cash to invest in private investment fund of Right Time SPC. The principal investment objective of the fund is to pursue returns by investing primarily in loans. The Group does not have the ability to exercise significant influence and elect to account for the investment under the NAV practical expedient. During the year ended June 30, 2025, the Group recognized a fair value gain of $100,869. As of June 30, 2025, the fair value of investments measured at net asset value was approximately $10,300,869. Subsequently in September and October 2025, the Group redeemed the investment and received net proceeds of $10,280,280 after deducting redemption fees and bank charges.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 ACCRUED EXPENSES AND OTHER LIABITIES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 consisted of the following:</w:t>
      </w:r>
    </w:p>
    <w:tbl>
      <w:tblPr>
        <w:tblW w:w="5817" w:type="dxa"/>
        <w:jc w:val="left"/>
        <w:tblInd w:w="0" w:type="dxa"/>
        <w:tblLayout w:type="fixed"/>
        <w:tblCellMar>
          <w:top w:w="0" w:type="dxa"/>
          <w:left w:w="0" w:type="dxa"/>
          <w:bottom w:w="0" w:type="dxa"/>
          <w:right w:w="0" w:type="dxa"/>
        </w:tblCellMar>
      </w:tblPr>
      <w:tblGrid>
        <w:gridCol w:w="2836"/>
        <w:gridCol w:w="146"/>
        <w:gridCol w:w="286"/>
        <w:gridCol w:w="1126"/>
        <w:gridCol w:w="146"/>
        <w:gridCol w:w="286"/>
        <w:gridCol w:w="991"/>
      </w:tblGrid>
      <w:tr>
        <w:trPr/>
        <w:tc>
          <w:tcPr>
            <w:tcW w:w="28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Wages and welfare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660,589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116,054</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service fees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402,458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143,420</w:t>
            </w:r>
          </w:p>
        </w:tc>
      </w:tr>
      <w:tr>
        <w:trPr/>
        <w:tc>
          <w:tcPr>
            <w:tcW w:w="28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50,056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55,445</w:t>
            </w:r>
          </w:p>
        </w:tc>
      </w:tr>
      <w:tr>
        <w:trPr/>
        <w:tc>
          <w:tcPr>
            <w:tcW w:w="28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1,113,103</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314,919</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 LONG-TERM PAYABLE</w:t>
      </w:r>
    </w:p>
    <w:tbl>
      <w:tblPr>
        <w:tblW w:w="6192" w:type="dxa"/>
        <w:jc w:val="left"/>
        <w:tblInd w:w="0" w:type="dxa"/>
        <w:tblLayout w:type="fixed"/>
        <w:tblCellMar>
          <w:top w:w="0" w:type="dxa"/>
          <w:left w:w="0" w:type="dxa"/>
          <w:bottom w:w="0" w:type="dxa"/>
          <w:right w:w="0" w:type="dxa"/>
        </w:tblCellMar>
      </w:tblPr>
      <w:tblGrid>
        <w:gridCol w:w="3211"/>
        <w:gridCol w:w="146"/>
        <w:gridCol w:w="286"/>
        <w:gridCol w:w="946"/>
        <w:gridCol w:w="146"/>
        <w:gridCol w:w="286"/>
        <w:gridCol w:w="1171"/>
      </w:tblGrid>
      <w:tr>
        <w:trPr/>
        <w:tc>
          <w:tcPr>
            <w:tcW w:w="32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br/>
              <w:t xml:space="preserve">June 30, </w:t>
              <w:br/>
              <w:t>2025</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 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1,050,000</w:t>
            </w:r>
          </w:p>
        </w:tc>
      </w:tr>
      <w:tr>
        <w:trPr/>
        <w:tc>
          <w:tcPr>
            <w:tcW w:w="32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 non-current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440,129</w:t>
            </w:r>
          </w:p>
        </w:tc>
      </w:tr>
      <w:tr>
        <w:trPr/>
        <w:tc>
          <w:tcPr>
            <w:tcW w:w="32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507,479</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1,490,129</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payable represents the remaining balance for desulfurizing towers of Top Diligence and Top Elegance. The total consideration for the desulfurizing towers is $2,100,000, which should be paid within two years. The balance for Top Diligence shall be paid in four installments of $262,500 every six months from October 17, 2023 to October 16, 2025 and was discounted at a rate of 6.96%. The balance for Top Elegance shall be paid in four installments of $262,500 every six months from December 18, 2023 to December 17, 2025 and was discounted at a rate of 6.85%. The carrying amount of the long-term payable is shown net of total unamortized discount of $17,521 as of June 30, 2025. Amortization of the discounts is reported in the income statement as interest expense.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 </w:t>
      </w:r>
      <w:r>
        <w:rPr>
          <w:rFonts w:ascii="Times New Roman PS Std;serif" w:hAnsi="Times New Roman PS Std;serif"/>
          <w:b/>
          <w:i w:val="false"/>
          <w:caps/>
          <w:sz w:val="20"/>
        </w:rPr>
        <w:t>Leases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Operating lease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2021, the Group took delivery of the Top Advancer, a 2016-built bulk carrier for a 59-month bareboat charter-in agreement. No purchase option or obligation clause is stipulated in the bareboat charter contract. The Group has performed an assessment considering the lease classification criteria under ASC 842 and concluded that the arrangement is an operating lease. Consequently, the Group has recognized an operating lease liability based on the net present value of the remaining charter-in payments based on rate at the lease commencement and an operating lease right-of-use asset at an amount equal to the operating liability adjusted for the carrying amount of the straight-line liability. Any changes resulted from the index or rate change is charged to expense during the period they occur.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2024 and 2023, cash paid for operating lease liabilities amounted to $2,630,252, $2,920,500 and $3,597,283, respectively, which equals to the total lease expenses in the below table.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components of lease expenses for the years ended June 30, 2025 and 2024 were as follows:</w:t>
      </w:r>
    </w:p>
    <w:tbl>
      <w:tblPr>
        <w:tblW w:w="7707" w:type="dxa"/>
        <w:jc w:val="left"/>
        <w:tblInd w:w="0" w:type="dxa"/>
        <w:tblLayout w:type="fixed"/>
        <w:tblCellMar>
          <w:top w:w="0" w:type="dxa"/>
          <w:left w:w="0" w:type="dxa"/>
          <w:bottom w:w="0" w:type="dxa"/>
          <w:right w:w="0" w:type="dxa"/>
        </w:tblCellMar>
      </w:tblPr>
      <w:tblGrid>
        <w:gridCol w:w="2506"/>
        <w:gridCol w:w="146"/>
        <w:gridCol w:w="286"/>
        <w:gridCol w:w="1126"/>
        <w:gridCol w:w="241"/>
        <w:gridCol w:w="146"/>
        <w:gridCol w:w="286"/>
        <w:gridCol w:w="1126"/>
        <w:gridCol w:w="241"/>
        <w:gridCol w:w="146"/>
        <w:gridCol w:w="286"/>
        <w:gridCol w:w="1171"/>
      </w:tblGrid>
      <w:tr>
        <w:trPr/>
        <w:tc>
          <w:tcPr>
            <w:tcW w:w="250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5055" w:type="dxa"/>
            <w:gridSpan w:val="10"/>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 June 30,</w:t>
            </w:r>
          </w:p>
        </w:tc>
      </w:tr>
      <w:tr>
        <w:trPr/>
        <w:tc>
          <w:tcPr>
            <w:tcW w:w="250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Fixed operating lease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3,158,279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3,158,279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3,158,279</w:t>
            </w:r>
          </w:p>
        </w:tc>
      </w:tr>
      <w:tr>
        <w:trPr/>
        <w:tc>
          <w:tcPr>
            <w:tcW w:w="25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Variable operating lease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(528,027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(237,779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439,004</w:t>
            </w:r>
          </w:p>
        </w:tc>
      </w:tr>
      <w:tr>
        <w:trPr/>
        <w:tc>
          <w:tcPr>
            <w:tcW w:w="25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lease expense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2,630,252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2,920,500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3,597,283</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variable operating lease expense depending on the BSI (Baltic Supramax index) published by the Baltic Exchange is measured on a monthly basis and recognized during the period in which it incurred.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balance sheet information related to operating lease was as follows:</w:t>
      </w:r>
    </w:p>
    <w:tbl>
      <w:tblPr>
        <w:tblW w:w="7197" w:type="dxa"/>
        <w:jc w:val="left"/>
        <w:tblInd w:w="0" w:type="dxa"/>
        <w:tblLayout w:type="fixed"/>
        <w:tblCellMar>
          <w:top w:w="0" w:type="dxa"/>
          <w:left w:w="0" w:type="dxa"/>
          <w:bottom w:w="0" w:type="dxa"/>
          <w:right w:w="0" w:type="dxa"/>
        </w:tblCellMar>
      </w:tblPr>
      <w:tblGrid>
        <w:gridCol w:w="4036"/>
        <w:gridCol w:w="146"/>
        <w:gridCol w:w="286"/>
        <w:gridCol w:w="1126"/>
        <w:gridCol w:w="146"/>
        <w:gridCol w:w="286"/>
        <w:gridCol w:w="1171"/>
      </w:tblGrid>
      <w:tr>
        <w:trPr/>
        <w:tc>
          <w:tcPr>
            <w:tcW w:w="40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4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assets-operating lease, net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1,560,385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4,587,352</w:t>
            </w:r>
          </w:p>
        </w:tc>
      </w:tr>
      <w:tr>
        <w:trPr/>
        <w:tc>
          <w:tcPr>
            <w:tcW w:w="40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vAlign w:val="bottom"/>
          </w:tcPr>
          <w:p>
            <w:pPr>
              <w:pStyle w:val="TableContents"/>
              <w:bidi w:val="0"/>
              <w:spacing w:before="0" w:after="283"/>
              <w:jc w:val="left"/>
              <w:rPr/>
            </w:pPr>
            <w:r>
              <w:rPr/>
              <w:t> </w:t>
            </w:r>
          </w:p>
        </w:tc>
      </w:tr>
      <w:tr>
        <w:trPr/>
        <w:tc>
          <w:tcPr>
            <w:tcW w:w="4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1,437,353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3,026,234</w:t>
            </w:r>
          </w:p>
        </w:tc>
      </w:tr>
      <w:tr>
        <w:trPr/>
        <w:tc>
          <w:tcPr>
            <w:tcW w:w="40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liabilities – non-current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1,572,994</w:t>
            </w:r>
          </w:p>
        </w:tc>
      </w:tr>
      <w:tr>
        <w:trPr/>
        <w:tc>
          <w:tcPr>
            <w:tcW w:w="40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lease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1,437,353</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4,599,228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 </w:t>
      </w:r>
      <w:r>
        <w:rPr>
          <w:rFonts w:ascii="Times New Roman PS Std;serif" w:hAnsi="Times New Roman PS Std;serif"/>
          <w:b/>
          <w:i w:val="false"/>
          <w:caps/>
          <w:sz w:val="20"/>
        </w:rPr>
        <w:t>Leases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remaining lease terms and discount rate for operating lease were as follows as of June 30, 2025 and 2024:</w:t>
      </w:r>
    </w:p>
    <w:tbl>
      <w:tblPr>
        <w:tblW w:w="7857" w:type="dxa"/>
        <w:jc w:val="left"/>
        <w:tblInd w:w="0" w:type="dxa"/>
        <w:tblLayout w:type="fixed"/>
        <w:tblCellMar>
          <w:top w:w="0" w:type="dxa"/>
          <w:left w:w="0" w:type="dxa"/>
          <w:bottom w:w="0" w:type="dxa"/>
          <w:right w:w="0" w:type="dxa"/>
        </w:tblCellMar>
      </w:tblPr>
      <w:tblGrid>
        <w:gridCol w:w="4816"/>
        <w:gridCol w:w="146"/>
        <w:gridCol w:w="1066"/>
        <w:gridCol w:w="286"/>
        <w:gridCol w:w="146"/>
        <w:gridCol w:w="1066"/>
        <w:gridCol w:w="331"/>
      </w:tblGrid>
      <w:tr>
        <w:trPr/>
        <w:tc>
          <w:tcPr>
            <w:tcW w:w="48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5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Remaining lease term and discount rate:</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(years)</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 years</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 years</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3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schedule of maturities of operating lease liabilities (excluding variable payments) as of June 30, 2025:</w:t>
      </w:r>
    </w:p>
    <w:tbl>
      <w:tblPr>
        <w:tblW w:w="5489" w:type="dxa"/>
        <w:jc w:val="left"/>
        <w:tblInd w:w="0" w:type="dxa"/>
        <w:tblLayout w:type="fixed"/>
        <w:tblCellMar>
          <w:top w:w="0" w:type="dxa"/>
          <w:left w:w="0" w:type="dxa"/>
          <w:bottom w:w="0" w:type="dxa"/>
          <w:right w:w="0" w:type="dxa"/>
        </w:tblCellMar>
      </w:tblPr>
      <w:tblGrid>
        <w:gridCol w:w="3886"/>
        <w:gridCol w:w="146"/>
        <w:gridCol w:w="286"/>
        <w:gridCol w:w="1171"/>
      </w:tblGrid>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Twelve months ending June 30,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1,456,106</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lease payments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1,456,106</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18,753</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value of lease liabilities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1,437,353</w:t>
            </w:r>
          </w:p>
        </w:tc>
      </w:tr>
    </w:tbl>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Short-term operating lease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leased office space from a related party with fixed lease term of 1 year with no purchase or renew option. The Group elects not to apply the recognition requirements in ASC 842 to short-term leases and recognizes the lease payments in profit or loss on a straight-line basis over the lease term. Short-term lease expense amounted to $34,448, $27,443 and $28,571 for the years ended June 30, 2025, 2024 and 2023.</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Financing leases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2018, the Group took delivery of Top Diligence, a 2018-built Dry Cargo vessel of 48,500 dwt, for a 10-year bareboat charter-in agreement with Topsheen Shipping Group Limited (a related party, see Note 10). The bareboat charter-in provides for purchase obligation with a bargain purchase price at the end of 10-year charter period.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has performed an assessment for Top Diligence considering the lease classification criteria under ASC 842 and concluded that the arrangement is a finance lease. Consequently, the Group has recognized vessel, net and a finance lease liability based on the net present value of the remaining charter-in payments including the purchase option to acquire the vessel at the end of the lease period, discounted by the rate implicit in the lease (7.4%). As of June 30, 2025 and 2024, the outstanding balance of lease liabilities was $6,739,912 and $8,337,978, respectively, and is repayable in 38 months in consecutive monthly installments, with an estimated purchase option of $1,490,000.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2019, the Group took delivery of Top Elegance, a 2019-built Dry Cargo vessel of 48,500 dwt, for a 10-year bareboat charter-in agreement with Topsheen Shipping Group Limited (a related party, see Note 10). The bareboat charter-in provides for purchase obligation with a bargain purchase price at the end of 10-year charter period. The Group has performed an assessment for Top Elegance considering the lease classification criteria under ASC 842 and concluded that the arrangement is a finance lease. Consequently, the Group has recognized a finance lease liability based on the net present value of the remaining charter-in payments including the purchase option to acquire the vessel at the end of the lease period, discounted by the rate implicit in the lease (7.8%). As of June 30, 2025 and 2024, the outstanding balance of lease liabilities was $7,275,788 and $8,866,762, respectively, and is repayable in 42 months in consecutive monthly installments, with an estimated purchase option of $1,490,000.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 </w:t>
      </w:r>
      <w:r>
        <w:rPr>
          <w:rFonts w:ascii="Times New Roman PS Std;serif" w:hAnsi="Times New Roman PS Std;serif"/>
          <w:b/>
          <w:i w:val="false"/>
          <w:caps/>
          <w:sz w:val="20"/>
        </w:rPr>
        <w:t>Leases</w:t>
      </w:r>
      <w:r>
        <w:rPr>
          <w:rFonts w:ascii="Times New Roman PS Std;serif" w:hAnsi="Times New Roman PS Std;serif"/>
          <w:b/>
          <w:i w:val="false"/>
          <w:caps w:val="false"/>
          <w:smallCaps w:val="false"/>
          <w:sz w:val="20"/>
        </w:rPr>
        <w:t xml:space="preserv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amount of financing lease expense, including amortization and interest expenses recognized in the combined and consolidated statements of income for the years ended June 30, 2025, 2024 and 2023 were as follows:</w:t>
      </w:r>
    </w:p>
    <w:tbl>
      <w:tblPr>
        <w:tblW w:w="7450" w:type="dxa"/>
        <w:jc w:val="left"/>
        <w:tblInd w:w="0" w:type="dxa"/>
        <w:tblLayout w:type="fixed"/>
        <w:tblCellMar>
          <w:top w:w="0" w:type="dxa"/>
          <w:left w:w="0" w:type="dxa"/>
          <w:bottom w:w="0" w:type="dxa"/>
          <w:right w:w="0" w:type="dxa"/>
        </w:tblCellMar>
      </w:tblPr>
      <w:tblGrid>
        <w:gridCol w:w="2731"/>
        <w:gridCol w:w="146"/>
        <w:gridCol w:w="286"/>
        <w:gridCol w:w="1126"/>
        <w:gridCol w:w="146"/>
        <w:gridCol w:w="286"/>
        <w:gridCol w:w="1126"/>
        <w:gridCol w:w="146"/>
        <w:gridCol w:w="286"/>
        <w:gridCol w:w="1171"/>
      </w:tblGrid>
      <w:tr>
        <w:trPr/>
        <w:tc>
          <w:tcPr>
            <w:tcW w:w="2731"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4573"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years ended</w:t>
            </w:r>
            <w:r>
              <w:rPr>
                <w:rFonts w:ascii="Times New Roman PS Std;serif" w:hAnsi="Times New Roman PS Std;serif"/>
                <w:b/>
                <w:i w:val="false"/>
                <w:caps w:val="false"/>
                <w:smallCaps w:val="false"/>
                <w:sz w:val="18"/>
                <w:u w:val="single"/>
              </w:rPr>
              <w:t xml:space="preserve"> </w:t>
            </w:r>
            <w:r>
              <w:rPr>
                <w:rFonts w:ascii="Times New Roman PS Std;serif" w:hAnsi="Times New Roman PS Std;serif"/>
                <w:b/>
                <w:i w:val="false"/>
                <w:caps w:val="false"/>
                <w:smallCaps w:val="false"/>
                <w:sz w:val="18"/>
              </w:rPr>
              <w:t>June 30,</w:t>
            </w:r>
          </w:p>
        </w:tc>
      </w:tr>
      <w:tr>
        <w:trPr/>
        <w:tc>
          <w:tcPr>
            <w:tcW w:w="273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2023</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Depreciation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2,704,847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2,704,848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2,704,847</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expenses-fixed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1,196,602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1,443,772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1,689,926</w:t>
            </w:r>
          </w:p>
        </w:tc>
      </w:tr>
      <w:tr>
        <w:trPr/>
        <w:tc>
          <w:tcPr>
            <w:tcW w:w="27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expenses-variable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238,965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496,612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300,761</w:t>
            </w:r>
          </w:p>
        </w:tc>
      </w:tr>
      <w:tr>
        <w:trPr/>
        <w:tc>
          <w:tcPr>
            <w:tcW w:w="27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4,140,414</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4,645,232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4,695,534</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variable interest expenses depending on LIBOR (later replaced by SOFR) are measured on a monthly basis and recognized during the period in which they are incurred.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balance sheet information related to financing leases was as follows:</w:t>
      </w:r>
    </w:p>
    <w:tbl>
      <w:tblPr>
        <w:tblW w:w="10205" w:type="dxa"/>
        <w:jc w:val="left"/>
        <w:tblInd w:w="0" w:type="dxa"/>
        <w:tblLayout w:type="fixed"/>
        <w:tblCellMar>
          <w:top w:w="0" w:type="dxa"/>
          <w:left w:w="0" w:type="dxa"/>
          <w:bottom w:w="0" w:type="dxa"/>
          <w:right w:w="0" w:type="dxa"/>
        </w:tblCellMar>
      </w:tblPr>
      <w:tblGrid>
        <w:gridCol w:w="6804"/>
        <w:gridCol w:w="146"/>
        <w:gridCol w:w="286"/>
        <w:gridCol w:w="1246"/>
        <w:gridCol w:w="146"/>
        <w:gridCol w:w="286"/>
        <w:gridCol w:w="1291"/>
      </w:tblGrid>
      <w:tr>
        <w:trPr/>
        <w:tc>
          <w:tcPr>
            <w:tcW w:w="680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68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Right-of-use assets-financing lease, net (included in Vessels, net, see Note 4)</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38,118,961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40,753,604</w:t>
            </w:r>
          </w:p>
        </w:tc>
      </w:tr>
      <w:tr>
        <w:trPr/>
        <w:tc>
          <w:tcPr>
            <w:tcW w:w="68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 current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3,338,390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3,256,190</w:t>
            </w:r>
          </w:p>
        </w:tc>
      </w:tr>
      <w:tr>
        <w:trPr/>
        <w:tc>
          <w:tcPr>
            <w:tcW w:w="68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 lease liabilities – non-current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10,677,310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13,948,550</w:t>
            </w:r>
          </w:p>
        </w:tc>
      </w:tr>
      <w:tr>
        <w:trPr/>
        <w:tc>
          <w:tcPr>
            <w:tcW w:w="68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financing lease liabilities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14,015,700</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17,204,740</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remaining lease terms and discount rates for financing leases were as follows as of June 30, 2025 and 2024:</w:t>
      </w:r>
    </w:p>
    <w:tbl>
      <w:tblPr>
        <w:tblW w:w="8097" w:type="dxa"/>
        <w:jc w:val="left"/>
        <w:tblInd w:w="0" w:type="dxa"/>
        <w:tblLayout w:type="fixed"/>
        <w:tblCellMar>
          <w:top w:w="0" w:type="dxa"/>
          <w:left w:w="0" w:type="dxa"/>
          <w:bottom w:w="0" w:type="dxa"/>
          <w:right w:w="0" w:type="dxa"/>
        </w:tblCellMar>
      </w:tblPr>
      <w:tblGrid>
        <w:gridCol w:w="4816"/>
        <w:gridCol w:w="146"/>
        <w:gridCol w:w="1186"/>
        <w:gridCol w:w="286"/>
        <w:gridCol w:w="146"/>
        <w:gridCol w:w="1186"/>
        <w:gridCol w:w="331"/>
      </w:tblGrid>
      <w:tr>
        <w:trPr/>
        <w:tc>
          <w:tcPr>
            <w:tcW w:w="48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Remaining lease term and discount rate:</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8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remaining lease term (years)</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 years</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 years</w:t>
            </w:r>
          </w:p>
        </w:tc>
        <w:tc>
          <w:tcPr>
            <w:tcW w:w="3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81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discount rate</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7.61</w:t>
            </w:r>
          </w:p>
        </w:tc>
        <w:tc>
          <w:tcPr>
            <w:tcW w:w="3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schedule of maturities of financing lease liabilities (excluding variable payments) as of June 30, 2025:</w:t>
      </w:r>
    </w:p>
    <w:tbl>
      <w:tblPr>
        <w:tblW w:w="5609" w:type="dxa"/>
        <w:jc w:val="left"/>
        <w:tblInd w:w="0" w:type="dxa"/>
        <w:tblLayout w:type="fixed"/>
        <w:tblCellMar>
          <w:top w:w="0" w:type="dxa"/>
          <w:left w:w="0" w:type="dxa"/>
          <w:bottom w:w="0" w:type="dxa"/>
          <w:right w:w="0" w:type="dxa"/>
        </w:tblCellMar>
      </w:tblPr>
      <w:tblGrid>
        <w:gridCol w:w="3886"/>
        <w:gridCol w:w="146"/>
        <w:gridCol w:w="286"/>
        <w:gridCol w:w="1291"/>
      </w:tblGrid>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Twelve months ending June 30,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91" w:type="dxa"/>
            <w:tcBorders/>
            <w:shd w:fill="CCEEFF" w:val="clear"/>
            <w:vAlign w:val="bottom"/>
          </w:tcPr>
          <w:p>
            <w:pPr>
              <w:pStyle w:val="TableContents"/>
              <w:bidi w:val="0"/>
              <w:spacing w:before="0" w:after="283"/>
              <w:jc w:val="left"/>
              <w:rPr/>
            </w:pPr>
            <w:r>
              <w:rPr/>
              <w:t> </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4,286,724</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3,986,356</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3,753,139</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Thereafter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4,182,754</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future minimum lease payments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16,208,973</w:t>
            </w:r>
          </w:p>
        </w:tc>
      </w:tr>
      <w:tr>
        <w:trPr/>
        <w:tc>
          <w:tcPr>
            <w:tcW w:w="38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imputed interest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2,193,273</w:t>
            </w:r>
          </w:p>
        </w:tc>
      </w:tr>
      <w:tr>
        <w:trPr/>
        <w:tc>
          <w:tcPr>
            <w:tcW w:w="38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Present value of lease liabilities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14,015,700</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 LONG-TERM LOAN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 consists of the following:</w:t>
      </w:r>
    </w:p>
    <w:tbl>
      <w:tblPr>
        <w:tblW w:w="10205" w:type="dxa"/>
        <w:jc w:val="left"/>
        <w:tblInd w:w="0" w:type="dxa"/>
        <w:tblLayout w:type="fixed"/>
        <w:tblCellMar>
          <w:top w:w="0" w:type="dxa"/>
          <w:left w:w="0" w:type="dxa"/>
          <w:bottom w:w="0" w:type="dxa"/>
          <w:right w:w="0" w:type="dxa"/>
        </w:tblCellMar>
      </w:tblPr>
      <w:tblGrid>
        <w:gridCol w:w="7044"/>
        <w:gridCol w:w="146"/>
        <w:gridCol w:w="286"/>
        <w:gridCol w:w="1126"/>
        <w:gridCol w:w="146"/>
        <w:gridCol w:w="286"/>
        <w:gridCol w:w="1171"/>
      </w:tblGrid>
      <w:tr>
        <w:trPr/>
        <w:tc>
          <w:tcPr>
            <w:tcW w:w="704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70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Chailease International Financial Services (Singapore) Pte. Ltd. (due on August 8, 2027)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2,908,945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4,505,274</w:t>
            </w:r>
          </w:p>
        </w:tc>
      </w:tr>
      <w:tr>
        <w:trPr/>
        <w:tc>
          <w:tcPr>
            <w:tcW w:w="70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2,908,945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4,505,274</w:t>
            </w:r>
          </w:p>
        </w:tc>
      </w:tr>
      <w:tr>
        <w:trPr/>
        <w:tc>
          <w:tcPr>
            <w:tcW w:w="70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Long-term loan – current portion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1,656,288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1,656,288</w:t>
            </w:r>
          </w:p>
        </w:tc>
      </w:tr>
      <w:tr>
        <w:trPr/>
        <w:tc>
          <w:tcPr>
            <w:tcW w:w="70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loan – non-current portion</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1,252,657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2,848,986</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3, 2022, the Group entered into a loan agreement with Chailease International Financial Services (Singapore) Pte. Ltd. to borrow $9,500,000. The loan bears an annual interest rate of Benchmark Rate plus 4.16%. Pursuant to a supplemental agreement, the Benchmark Rate — London Interbank Offered Rate(“LIBOR”) was replaced by the secured overnight financing rate published by CME Group (“CME TERM OF SOFR”) effective on April 8, 2023. Debt issuance cost of $230,500 was deferred and amortized through the loan period using effective interest rate method. A security deposit of $475,000 was deposited with the lender. The loan is guaranteed by Topsheen Shipping Singapore Pte. Ltd., shareholders and affiliates (related parties, see Note 10). The Group is required to repay monthly installments comprising principal and interest thereafter. In April 2024, the Company and the Lender entered into an amendment that the Company can repay US$1 million in advance with the updated payment schedule in the remaining period. The voluntary prepayment fee is 2% of the prepayment amount, which is US$20,000.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repayment schedule for the loan are as follows:</w:t>
      </w:r>
    </w:p>
    <w:tbl>
      <w:tblPr>
        <w:tblW w:w="5625" w:type="dxa"/>
        <w:jc w:val="left"/>
        <w:tblInd w:w="0" w:type="dxa"/>
        <w:tblLayout w:type="fixed"/>
        <w:tblCellMar>
          <w:top w:w="0" w:type="dxa"/>
          <w:left w:w="0" w:type="dxa"/>
          <w:bottom w:w="0" w:type="dxa"/>
          <w:right w:w="0" w:type="dxa"/>
        </w:tblCellMar>
      </w:tblPr>
      <w:tblGrid>
        <w:gridCol w:w="3781"/>
        <w:gridCol w:w="146"/>
        <w:gridCol w:w="286"/>
        <w:gridCol w:w="1126"/>
        <w:gridCol w:w="286"/>
      </w:tblGrid>
      <w:tr>
        <w:trPr/>
        <w:tc>
          <w:tcPr>
            <w:tcW w:w="37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Twelve months ending June 30,</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Repayment</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1,656,288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1,130,492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170,884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Subtotal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2,957,664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7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unamortized debt issuance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(48,719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7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2,908,945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 RELATED PARTY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records transactions with various related parties. These related parties’ balances as of June 30, 2025 and 2024 and transactions for the years ended June 30, 2025, 2024 and 2023 are identified as follows: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Related parties with transactions and related party relationships</w:t>
      </w:r>
    </w:p>
    <w:tbl>
      <w:tblPr>
        <w:tblW w:w="10205" w:type="dxa"/>
        <w:jc w:val="left"/>
        <w:tblInd w:w="0" w:type="dxa"/>
        <w:tblLayout w:type="fixed"/>
        <w:tblCellMar>
          <w:top w:w="0" w:type="dxa"/>
          <w:left w:w="0" w:type="dxa"/>
          <w:bottom w:w="0" w:type="dxa"/>
          <w:right w:w="0" w:type="dxa"/>
        </w:tblCellMar>
      </w:tblPr>
      <w:tblGrid>
        <w:gridCol w:w="3854"/>
        <w:gridCol w:w="146"/>
        <w:gridCol w:w="6205"/>
      </w:tblGrid>
      <w:tr>
        <w:trPr/>
        <w:tc>
          <w:tcPr>
            <w:tcW w:w="38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Related Party</w:t>
            </w:r>
          </w:p>
        </w:tc>
        <w:tc>
          <w:tcPr>
            <w:tcW w:w="146" w:type="dxa"/>
            <w:tcBorders/>
            <w:vAlign w:val="bottom"/>
          </w:tcPr>
          <w:p>
            <w:pPr>
              <w:pStyle w:val="TableContents"/>
              <w:bidi w:val="0"/>
              <w:spacing w:before="0" w:after="283"/>
              <w:jc w:val="left"/>
              <w:rPr/>
            </w:pPr>
            <w:r>
              <w:rPr/>
              <w:t> </w:t>
            </w:r>
          </w:p>
        </w:tc>
        <w:tc>
          <w:tcPr>
            <w:tcW w:w="620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to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Shoucheng Lei</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shareholder of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 Ms. Luan Chen and Mr. Jun Li, shareholders of the Group</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Rui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bulk Singapore Pte.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Related to Mr. Dong Zhang</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Xun Da Shipping Co.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w:t>
            </w:r>
          </w:p>
        </w:tc>
      </w:tr>
      <w:tr>
        <w:trPr/>
        <w:tc>
          <w:tcPr>
            <w:tcW w:w="385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Nanjing Top Confidence Marine Management Co., Ltd</w:t>
            </w:r>
          </w:p>
        </w:tc>
        <w:tc>
          <w:tcPr>
            <w:tcW w:w="146" w:type="dxa"/>
            <w:tcBorders/>
          </w:tcPr>
          <w:p>
            <w:pPr>
              <w:pStyle w:val="TableContents"/>
              <w:bidi w:val="0"/>
              <w:spacing w:before="0" w:after="283"/>
              <w:jc w:val="left"/>
              <w:rPr/>
            </w:pPr>
            <w:r>
              <w:rPr/>
              <w:t> </w:t>
            </w:r>
          </w:p>
        </w:tc>
        <w:tc>
          <w:tcPr>
            <w:tcW w:w="6205"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Mr. Shoucheng Lei</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 RELATED PARTY TRANSACTIONS </w:t>
      </w:r>
      <w:r>
        <w:rPr>
          <w:rFonts w:ascii="Times New Roman PS Std;serif" w:hAnsi="Times New Roman PS Std;serif"/>
          <w:b w:val="false"/>
          <w:i w:val="false"/>
          <w:caps w:val="false"/>
          <w:smallCaps w:val="false"/>
          <w:sz w:val="20"/>
        </w:rPr>
        <w:t>(cont.)</w:t>
      </w:r>
    </w:p>
    <w:tbl>
      <w:tblPr>
        <w:tblW w:w="8668" w:type="dxa"/>
        <w:jc w:val="left"/>
        <w:tblInd w:w="0" w:type="dxa"/>
        <w:tblLayout w:type="fixed"/>
        <w:tblCellMar>
          <w:top w:w="0" w:type="dxa"/>
          <w:left w:w="0" w:type="dxa"/>
          <w:bottom w:w="0" w:type="dxa"/>
          <w:right w:w="0" w:type="dxa"/>
        </w:tblCellMar>
      </w:tblPr>
      <w:tblGrid>
        <w:gridCol w:w="3376"/>
        <w:gridCol w:w="146"/>
        <w:gridCol w:w="5146"/>
      </w:tblGrid>
      <w:tr>
        <w:trPr/>
        <w:tc>
          <w:tcPr>
            <w:tcW w:w="33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Related Party</w:t>
            </w:r>
          </w:p>
        </w:tc>
        <w:tc>
          <w:tcPr>
            <w:tcW w:w="146" w:type="dxa"/>
            <w:tcBorders/>
            <w:vAlign w:val="bottom"/>
          </w:tcPr>
          <w:p>
            <w:pPr>
              <w:pStyle w:val="TableContents"/>
              <w:bidi w:val="0"/>
              <w:spacing w:before="0" w:after="283"/>
              <w:jc w:val="left"/>
              <w:rPr/>
            </w:pPr>
            <w:r>
              <w:rPr/>
              <w:t> </w:t>
            </w:r>
          </w:p>
        </w:tc>
        <w:tc>
          <w:tcPr>
            <w:tcW w:w="51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Relationship to the Group</w:t>
            </w:r>
          </w:p>
        </w:tc>
      </w:tr>
      <w:tr>
        <w:trPr/>
        <w:tc>
          <w:tcPr>
            <w:tcW w:w="33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w:t>
            </w:r>
          </w:p>
        </w:tc>
        <w:tc>
          <w:tcPr>
            <w:tcW w:w="146" w:type="dxa"/>
            <w:tcBorders/>
          </w:tcPr>
          <w:p>
            <w:pPr>
              <w:pStyle w:val="TableContents"/>
              <w:bidi w:val="0"/>
              <w:spacing w:before="0" w:after="283"/>
              <w:jc w:val="left"/>
              <w:rPr/>
            </w:pPr>
            <w:r>
              <w:rPr/>
              <w:t> </w:t>
            </w:r>
          </w:p>
        </w:tc>
        <w:tc>
          <w:tcPr>
            <w:tcW w:w="51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3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w:t>
            </w:r>
          </w:p>
        </w:tc>
        <w:tc>
          <w:tcPr>
            <w:tcW w:w="146" w:type="dxa"/>
            <w:tcBorders/>
          </w:tcPr>
          <w:p>
            <w:pPr>
              <w:pStyle w:val="TableContents"/>
              <w:bidi w:val="0"/>
              <w:spacing w:before="0" w:after="283"/>
              <w:jc w:val="left"/>
              <w:rPr/>
            </w:pPr>
            <w:r>
              <w:rPr/>
              <w:t> </w:t>
            </w:r>
          </w:p>
        </w:tc>
        <w:tc>
          <w:tcPr>
            <w:tcW w:w="51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3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w:t>
            </w:r>
          </w:p>
        </w:tc>
        <w:tc>
          <w:tcPr>
            <w:tcW w:w="146" w:type="dxa"/>
            <w:tcBorders/>
          </w:tcPr>
          <w:p>
            <w:pPr>
              <w:pStyle w:val="TableContents"/>
              <w:bidi w:val="0"/>
              <w:spacing w:before="0" w:after="283"/>
              <w:jc w:val="left"/>
              <w:rPr/>
            </w:pPr>
            <w:r>
              <w:rPr/>
              <w:t> </w:t>
            </w:r>
          </w:p>
        </w:tc>
        <w:tc>
          <w:tcPr>
            <w:tcW w:w="51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r>
        <w:trPr/>
        <w:tc>
          <w:tcPr>
            <w:tcW w:w="33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Dong Zhang</w:t>
            </w:r>
          </w:p>
        </w:tc>
        <w:tc>
          <w:tcPr>
            <w:tcW w:w="146" w:type="dxa"/>
            <w:tcBorders/>
          </w:tcPr>
          <w:p>
            <w:pPr>
              <w:pStyle w:val="TableContents"/>
              <w:bidi w:val="0"/>
              <w:spacing w:before="0" w:after="283"/>
              <w:jc w:val="left"/>
              <w:rPr/>
            </w:pPr>
            <w:r>
              <w:rPr/>
              <w:t> </w:t>
            </w:r>
          </w:p>
        </w:tc>
        <w:tc>
          <w:tcPr>
            <w:tcW w:w="51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Family member of Mr. Jun Li</w:t>
            </w:r>
          </w:p>
        </w:tc>
      </w:tr>
      <w:tr>
        <w:trPr/>
        <w:tc>
          <w:tcPr>
            <w:tcW w:w="33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Qing Xu</w:t>
            </w:r>
          </w:p>
        </w:tc>
        <w:tc>
          <w:tcPr>
            <w:tcW w:w="146" w:type="dxa"/>
            <w:tcBorders/>
          </w:tcPr>
          <w:p>
            <w:pPr>
              <w:pStyle w:val="TableContents"/>
              <w:bidi w:val="0"/>
              <w:spacing w:before="0" w:after="283"/>
              <w:jc w:val="left"/>
              <w:rPr/>
            </w:pPr>
            <w:r>
              <w:rPr/>
              <w:t> </w:t>
            </w:r>
          </w:p>
        </w:tc>
        <w:tc>
          <w:tcPr>
            <w:tcW w:w="51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Family member of Ms. Luan Chen</w:t>
            </w:r>
          </w:p>
        </w:tc>
      </w:tr>
      <w:tr>
        <w:trPr/>
        <w:tc>
          <w:tcPr>
            <w:tcW w:w="337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Corporation Shipping Limited</w:t>
            </w:r>
          </w:p>
        </w:tc>
        <w:tc>
          <w:tcPr>
            <w:tcW w:w="146" w:type="dxa"/>
            <w:tcBorders/>
          </w:tcPr>
          <w:p>
            <w:pPr>
              <w:pStyle w:val="TableContents"/>
              <w:bidi w:val="0"/>
              <w:spacing w:before="0" w:after="283"/>
              <w:jc w:val="left"/>
              <w:rPr/>
            </w:pPr>
            <w:r>
              <w:rPr/>
              <w:t> </w:t>
            </w:r>
          </w:p>
        </w:tc>
        <w:tc>
          <w:tcPr>
            <w:tcW w:w="514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by Ocean Master Worldwide Corporation</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Accounts receivable-related parties</w:t>
      </w:r>
    </w:p>
    <w:tbl>
      <w:tblPr>
        <w:tblW w:w="7107" w:type="dxa"/>
        <w:jc w:val="left"/>
        <w:tblInd w:w="0" w:type="dxa"/>
        <w:tblLayout w:type="fixed"/>
        <w:tblCellMar>
          <w:top w:w="0" w:type="dxa"/>
          <w:left w:w="0" w:type="dxa"/>
          <w:bottom w:w="0" w:type="dxa"/>
          <w:right w:w="0" w:type="dxa"/>
        </w:tblCellMar>
      </w:tblPr>
      <w:tblGrid>
        <w:gridCol w:w="4126"/>
        <w:gridCol w:w="146"/>
        <w:gridCol w:w="286"/>
        <w:gridCol w:w="1126"/>
        <w:gridCol w:w="146"/>
        <w:gridCol w:w="286"/>
        <w:gridCol w:w="991"/>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June 30, </w:t>
              <w:br/>
              <w:t>2024</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616,279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50,125</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143,277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159,638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4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99,121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86,817</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1,018,315</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136,942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 mainly represented consideration for time charter accounts receivable from Topsheen Shipping Singapore Pte. Ltd.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 represents the accrued management fees from related parties for vessel management services.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Advance from customers-related party</w:t>
      </w:r>
    </w:p>
    <w:tbl>
      <w:tblPr>
        <w:tblW w:w="6927" w:type="dxa"/>
        <w:jc w:val="left"/>
        <w:tblInd w:w="0" w:type="dxa"/>
        <w:tblLayout w:type="fixed"/>
        <w:tblCellMar>
          <w:top w:w="0" w:type="dxa"/>
          <w:left w:w="0" w:type="dxa"/>
          <w:bottom w:w="0" w:type="dxa"/>
          <w:right w:w="0" w:type="dxa"/>
        </w:tblCellMar>
      </w:tblPr>
      <w:tblGrid>
        <w:gridCol w:w="4126"/>
        <w:gridCol w:w="146"/>
        <w:gridCol w:w="286"/>
        <w:gridCol w:w="946"/>
        <w:gridCol w:w="146"/>
        <w:gridCol w:w="286"/>
        <w:gridCol w:w="991"/>
      </w:tblGrid>
      <w:tr>
        <w:trPr/>
        <w:tc>
          <w:tcPr>
            <w:tcW w:w="4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4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433,125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213,209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(1)      The balance represents the advance charter hire payments from Topsheen Shipping Singapore Pte. Ltd.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Due from 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2025 and 2024, the balances due from related parties were as follows:</w:t>
      </w:r>
    </w:p>
    <w:tbl>
      <w:tblPr>
        <w:tblW w:w="6867" w:type="dxa"/>
        <w:jc w:val="left"/>
        <w:tblInd w:w="0" w:type="dxa"/>
        <w:tblLayout w:type="fixed"/>
        <w:tblCellMar>
          <w:top w:w="0" w:type="dxa"/>
          <w:left w:w="0" w:type="dxa"/>
          <w:bottom w:w="0" w:type="dxa"/>
          <w:right w:w="0" w:type="dxa"/>
        </w:tblCellMar>
      </w:tblPr>
      <w:tblGrid>
        <w:gridCol w:w="4066"/>
        <w:gridCol w:w="146"/>
        <w:gridCol w:w="286"/>
        <w:gridCol w:w="946"/>
        <w:gridCol w:w="146"/>
        <w:gridCol w:w="286"/>
        <w:gridCol w:w="991"/>
      </w:tblGrid>
      <w:tr>
        <w:trPr/>
        <w:tc>
          <w:tcPr>
            <w:tcW w:w="40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40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71,662</w:t>
            </w:r>
          </w:p>
        </w:tc>
      </w:tr>
      <w:tr>
        <w:trPr/>
        <w:tc>
          <w:tcPr>
            <w:tcW w:w="40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331,948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331,656</w:t>
            </w:r>
          </w:p>
        </w:tc>
      </w:tr>
      <w:tr>
        <w:trPr/>
        <w:tc>
          <w:tcPr>
            <w:tcW w:w="40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331,948</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403,318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18"/>
        </w:rPr>
        <w:t>(1)      The balance represents the outstanding bunker receivable from Topsheen Shipping Singapore Pte. Ltd for time charter service provided by the Group.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 RELATED PARTY TRANSACTIONS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Due to related parties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2025 and 2024, the balances due to related parties were as follows:</w:t>
      </w:r>
    </w:p>
    <w:tbl>
      <w:tblPr>
        <w:tblW w:w="8952" w:type="dxa"/>
        <w:jc w:val="left"/>
        <w:tblInd w:w="0" w:type="dxa"/>
        <w:tblLayout w:type="fixed"/>
        <w:tblCellMar>
          <w:top w:w="0" w:type="dxa"/>
          <w:left w:w="0" w:type="dxa"/>
          <w:bottom w:w="0" w:type="dxa"/>
          <w:right w:w="0" w:type="dxa"/>
        </w:tblCellMar>
      </w:tblPr>
      <w:tblGrid>
        <w:gridCol w:w="5551"/>
        <w:gridCol w:w="146"/>
        <w:gridCol w:w="286"/>
        <w:gridCol w:w="1246"/>
        <w:gridCol w:w="146"/>
        <w:gridCol w:w="286"/>
        <w:gridCol w:w="1291"/>
      </w:tblGrid>
      <w:tr>
        <w:trPr/>
        <w:tc>
          <w:tcPr>
            <w:tcW w:w="555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2024</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Limited(1)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36,584</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45,504</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Nanjing Top Confidence Marine Management Co., Ltd(1)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14,381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17,683</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shareholder and affiliate(2)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24,490,720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24,776,946</w:t>
            </w:r>
          </w:p>
        </w:tc>
      </w:tr>
      <w:tr>
        <w:trPr/>
        <w:tc>
          <w:tcPr>
            <w:tcW w:w="55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11,546</w:t>
            </w:r>
          </w:p>
        </w:tc>
      </w:tr>
      <w:tr>
        <w:trPr/>
        <w:tc>
          <w:tcPr>
            <w:tcW w:w="55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24,553,231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24,851,679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balances mainly represented the expenses paid on behalf of the Group.</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balances mainly represented non-interest-bearing loans from Mr. Shoucheng Lei and due on demand.</w:t>
      </w:r>
    </w:p>
    <w:p>
      <w:pPr>
        <w:pStyle w:val="TextBody"/>
        <w:keepNext w:val="true"/>
        <w:pageBreakBefore w:val="false"/>
        <w:widowControl/>
        <w:pBdr/>
        <w:bidi w:val="0"/>
        <w:spacing w:before="18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Services provided to related parties</w:t>
      </w:r>
    </w:p>
    <w:tbl>
      <w:tblPr>
        <w:tblW w:w="10205" w:type="dxa"/>
        <w:jc w:val="left"/>
        <w:tblInd w:w="0" w:type="dxa"/>
        <w:tblLayout w:type="fixed"/>
        <w:tblCellMar>
          <w:top w:w="0" w:type="dxa"/>
          <w:left w:w="0" w:type="dxa"/>
          <w:bottom w:w="0" w:type="dxa"/>
          <w:right w:w="0" w:type="dxa"/>
        </w:tblCellMar>
      </w:tblPr>
      <w:tblGrid>
        <w:gridCol w:w="5126"/>
        <w:gridCol w:w="146"/>
        <w:gridCol w:w="286"/>
        <w:gridCol w:w="1246"/>
        <w:gridCol w:w="146"/>
        <w:gridCol w:w="286"/>
        <w:gridCol w:w="1246"/>
        <w:gridCol w:w="146"/>
        <w:gridCol w:w="286"/>
        <w:gridCol w:w="1291"/>
      </w:tblGrid>
      <w:tr>
        <w:trPr/>
        <w:tc>
          <w:tcPr>
            <w:tcW w:w="51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June 30, </w:t>
              <w:br/>
              <w:t>2025</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June 30, </w:t>
              <w:br/>
              <w:t>2024</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year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June 30, </w:t>
              <w:br/>
              <w:t>2023</w:t>
            </w:r>
          </w:p>
        </w:tc>
      </w:tr>
      <w:tr>
        <w:trPr/>
        <w:tc>
          <w:tcPr>
            <w:tcW w:w="5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Singapore Pte. Ltd. (Time charter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18,682,031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12,281,701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13,999,534</w:t>
            </w:r>
          </w:p>
        </w:tc>
      </w:tr>
      <w:tr>
        <w:trPr/>
        <w:tc>
          <w:tcPr>
            <w:tcW w:w="5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Mei Da Shipping Co. Limited (Vessel management services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1,481,220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1,565,711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2,052,046</w:t>
            </w:r>
          </w:p>
        </w:tc>
      </w:tr>
      <w:tr>
        <w:trPr/>
        <w:tc>
          <w:tcPr>
            <w:tcW w:w="5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Tong Da Shipping Co. Limited (Vessel management services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1,457,911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1,492,521</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1,752,601</w:t>
            </w:r>
          </w:p>
        </w:tc>
      </w:tr>
      <w:tr>
        <w:trPr/>
        <w:tc>
          <w:tcPr>
            <w:tcW w:w="5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Rui Da Shipping Co. Limited (Vessel management services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420,737</w:t>
            </w:r>
          </w:p>
        </w:tc>
      </w:tr>
      <w:tr>
        <w:trPr/>
        <w:tc>
          <w:tcPr>
            <w:tcW w:w="5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Xun Da Shipping Co. Limited (Vessel management services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619,504</w:t>
            </w:r>
          </w:p>
        </w:tc>
      </w:tr>
      <w:tr>
        <w:trPr/>
        <w:tc>
          <w:tcPr>
            <w:tcW w:w="5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Bulk Singapore Pte Ltd (Time charter revenue)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624,337</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Keen Best Shipping Co Limited (Vessel management services revenue)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1,128,998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974,963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51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23,374,497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16,314,896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18,844,422</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2024 and 2023, the Group provided time charter service and vessel management services to the related parties. These numbers have been included in the revenue of the combined and consolidated statements of income.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(7)</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Financing lease from a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years ended June 30, 2025, 2024 and 2023, the Group has financing leases from a related party. (see Note 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(8)</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Short-term</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office lease expense from a related party</w:t>
      </w:r>
    </w:p>
    <w:tbl>
      <w:tblPr>
        <w:tblW w:w="6604" w:type="dxa"/>
        <w:jc w:val="left"/>
        <w:tblInd w:w="0" w:type="dxa"/>
        <w:tblLayout w:type="fixed"/>
        <w:tblCellMar>
          <w:top w:w="0" w:type="dxa"/>
          <w:left w:w="0" w:type="dxa"/>
          <w:bottom w:w="0" w:type="dxa"/>
          <w:right w:w="0" w:type="dxa"/>
        </w:tblCellMar>
      </w:tblPr>
      <w:tblGrid>
        <w:gridCol w:w="1981"/>
        <w:gridCol w:w="146"/>
        <w:gridCol w:w="355"/>
        <w:gridCol w:w="1025"/>
        <w:gridCol w:w="146"/>
        <w:gridCol w:w="355"/>
        <w:gridCol w:w="1025"/>
        <w:gridCol w:w="146"/>
        <w:gridCol w:w="352"/>
        <w:gridCol w:w="1073"/>
      </w:tblGrid>
      <w:tr>
        <w:trPr/>
        <w:tc>
          <w:tcPr>
            <w:tcW w:w="19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2025</w:t>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2024</w:t>
            </w:r>
          </w:p>
        </w:tc>
        <w:tc>
          <w:tcPr>
            <w:tcW w:w="146"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2023</w:t>
            </w:r>
          </w:p>
        </w:tc>
      </w:tr>
      <w:tr>
        <w:trPr/>
        <w:tc>
          <w:tcPr>
            <w:tcW w:w="1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Jun Li’s affiliate</w:t>
            </w:r>
          </w:p>
        </w:tc>
        <w:tc>
          <w:tcPr>
            <w:tcW w:w="146"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27,684</w:t>
            </w:r>
          </w:p>
        </w:tc>
        <w:tc>
          <w:tcPr>
            <w:tcW w:w="146"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27,443</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28,571</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numbers have been included in the General and administrative expenses of the combined and consolidated statements of income.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10 —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(9)</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General and administrative expenses shared with a related party</w:t>
      </w:r>
    </w:p>
    <w:tbl>
      <w:tblPr>
        <w:tblW w:w="8029" w:type="dxa"/>
        <w:jc w:val="left"/>
        <w:tblInd w:w="0" w:type="dxa"/>
        <w:tblLayout w:type="fixed"/>
        <w:tblCellMar>
          <w:top w:w="0" w:type="dxa"/>
          <w:left w:w="0" w:type="dxa"/>
          <w:bottom w:w="0" w:type="dxa"/>
          <w:right w:w="0" w:type="dxa"/>
        </w:tblCellMar>
      </w:tblPr>
      <w:tblGrid>
        <w:gridCol w:w="3406"/>
        <w:gridCol w:w="146"/>
        <w:gridCol w:w="355"/>
        <w:gridCol w:w="1025"/>
        <w:gridCol w:w="146"/>
        <w:gridCol w:w="320"/>
        <w:gridCol w:w="1060"/>
        <w:gridCol w:w="146"/>
        <w:gridCol w:w="352"/>
        <w:gridCol w:w="1073"/>
      </w:tblGrid>
      <w:tr>
        <w:trPr/>
        <w:tc>
          <w:tcPr>
            <w:tcW w:w="3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2025</w:t>
            </w:r>
          </w:p>
        </w:tc>
        <w:tc>
          <w:tcPr>
            <w:tcW w:w="146" w:type="dxa"/>
            <w:tcBorders/>
            <w:vAlign w:val="bottom"/>
          </w:tcPr>
          <w:p>
            <w:pPr>
              <w:pStyle w:val="TableContents"/>
              <w:bidi w:val="0"/>
              <w:spacing w:before="0" w:after="283"/>
              <w:jc w:val="left"/>
              <w:rPr/>
            </w:pPr>
            <w:r>
              <w:rPr/>
              <w:t> </w:t>
            </w:r>
          </w:p>
        </w:tc>
        <w:tc>
          <w:tcPr>
            <w:tcW w:w="138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2024</w:t>
            </w:r>
          </w:p>
        </w:tc>
        <w:tc>
          <w:tcPr>
            <w:tcW w:w="146" w:type="dxa"/>
            <w:tcBorders/>
            <w:vAlign w:val="bottom"/>
          </w:tcPr>
          <w:p>
            <w:pPr>
              <w:pStyle w:val="TableContents"/>
              <w:bidi w:val="0"/>
              <w:spacing w:before="0" w:after="283"/>
              <w:jc w:val="left"/>
              <w:rPr/>
            </w:pPr>
            <w:r>
              <w:rPr/>
              <w:t> </w:t>
            </w:r>
          </w:p>
        </w:tc>
        <w:tc>
          <w:tcPr>
            <w:tcW w:w="142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2023</w:t>
            </w:r>
          </w:p>
        </w:tc>
      </w:tr>
      <w:tr>
        <w:trPr/>
        <w:tc>
          <w:tcPr>
            <w:tcW w:w="3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Topsheen Shipping Group Co., Ltd</w:t>
            </w:r>
          </w:p>
        </w:tc>
        <w:tc>
          <w:tcPr>
            <w:tcW w:w="146" w:type="dxa"/>
            <w:tcBorders/>
            <w:shd w:fill="CCEEFF" w:val="clear"/>
            <w:vAlign w:val="bottom"/>
          </w:tcPr>
          <w:p>
            <w:pPr>
              <w:pStyle w:val="TableContents"/>
              <w:bidi w:val="0"/>
              <w:spacing w:before="0" w:after="283"/>
              <w:jc w:val="left"/>
              <w:rPr/>
            </w:pPr>
            <w:r>
              <w:rPr/>
              <w:t> </w:t>
            </w:r>
          </w:p>
        </w:tc>
        <w:tc>
          <w:tcPr>
            <w:tcW w:w="35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92,581</w:t>
            </w:r>
          </w:p>
        </w:tc>
        <w:tc>
          <w:tcPr>
            <w:tcW w:w="146"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108,353</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75,592</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Guarantee by a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2025 and 2024, long-term loan totaling $2,908,945 and $4,505,274, respectively, was guaranteed by Topsheen Shipping Singapore Pte. Ltd., shareholders and affiliates. (see Note 9).</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Advances with related party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the Group entered into intercompany advances with related parties to meet short-term funding needs. Substantially all of the balances were settled before year-end, and the remaining balance as of June 30, 2025 was immaterial. The related cash flows were included in operating activities.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 TAXES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Cayman Islands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is incorporated in Cayman Islands as an offshore holding Group and is not subject to tax on income or capital gain under the laws of Cayman Islands. Additionally, the Cayman Islands does not impose a withholding tax on payments of dividends to shareholders.</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British Virgin Islands Taxation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current laws of the British Virgin Islands, the Group’s subsidiary incorporated in BVI is not subject to income tax.</w:t>
      </w:r>
    </w:p>
    <w:p>
      <w:pPr>
        <w:pStyle w:val="TextBody"/>
        <w:keepNext w:val="true"/>
        <w:pageBreakBefore w:val="false"/>
        <w:widowControl/>
        <w:pBdr/>
        <w:bidi w:val="0"/>
        <w:spacing w:before="240" w:after="283"/>
        <w:jc w:val="both"/>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Hong Kong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operating entities of the Group are registered in Hong Kong, where charter hire, whether attributable to a time charterparty or a bareboat charterparty, derived by a Hong Kong resident or non-resident ship operator from the operation of ships (wherever registered) outside the waters of Hong Kong and the river trade waters, or commencing from Hong Kong and proceeding to sea, is not chargeable to profits tax according to local tax regulations. Therefore, it is the Director’s view that the Group’s revenue is either not subject or exempt from income tax according to the tax regulations prevailing in the jurisdiction in which the Group operates. Hong Kong does not impose withholding tax on dividends and interest currently.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reconciles the Hong Kong income tax rates to the Group’s effective tax rate for the years ended June 30, 2025, 2024 and 2023:</w:t>
      </w:r>
    </w:p>
    <w:tbl>
      <w:tblPr>
        <w:tblW w:w="6514" w:type="dxa"/>
        <w:jc w:val="left"/>
        <w:tblInd w:w="0" w:type="dxa"/>
        <w:tblLayout w:type="fixed"/>
        <w:tblCellMar>
          <w:top w:w="0" w:type="dxa"/>
          <w:left w:w="0" w:type="dxa"/>
          <w:bottom w:w="0" w:type="dxa"/>
          <w:right w:w="0" w:type="dxa"/>
        </w:tblCellMar>
      </w:tblPr>
      <w:tblGrid>
        <w:gridCol w:w="1846"/>
        <w:gridCol w:w="146"/>
        <w:gridCol w:w="852"/>
        <w:gridCol w:w="543"/>
        <w:gridCol w:w="146"/>
        <w:gridCol w:w="852"/>
        <w:gridCol w:w="543"/>
        <w:gridCol w:w="146"/>
        <w:gridCol w:w="845"/>
        <w:gridCol w:w="595"/>
      </w:tblGrid>
      <w:tr>
        <w:trPr/>
        <w:tc>
          <w:tcPr>
            <w:tcW w:w="184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2025</w:t>
            </w:r>
          </w:p>
        </w:tc>
        <w:tc>
          <w:tcPr>
            <w:tcW w:w="146" w:type="dxa"/>
            <w:tcBorders/>
            <w:vAlign w:val="bottom"/>
          </w:tcPr>
          <w:p>
            <w:pPr>
              <w:pStyle w:val="TableContents"/>
              <w:bidi w:val="0"/>
              <w:spacing w:before="0" w:after="283"/>
              <w:jc w:val="left"/>
              <w:rPr/>
            </w:pPr>
            <w:r>
              <w:rPr/>
              <w:t> </w:t>
            </w:r>
          </w:p>
        </w:tc>
        <w:tc>
          <w:tcPr>
            <w:tcW w:w="139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2024</w:t>
            </w:r>
          </w:p>
        </w:tc>
        <w:tc>
          <w:tcPr>
            <w:tcW w:w="146" w:type="dxa"/>
            <w:tcBorders/>
            <w:vAlign w:val="bottom"/>
          </w:tcPr>
          <w:p>
            <w:pPr>
              <w:pStyle w:val="TableContents"/>
              <w:bidi w:val="0"/>
              <w:spacing w:before="0" w:after="283"/>
              <w:jc w:val="left"/>
              <w:rPr/>
            </w:pPr>
            <w:r>
              <w:rPr/>
              <w:t> </w:t>
            </w:r>
          </w:p>
        </w:tc>
        <w:tc>
          <w:tcPr>
            <w:tcW w:w="14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 the </w:t>
              <w:br/>
              <w:t xml:space="preserve">Year ended </w:t>
              <w:br/>
              <w:t xml:space="preserve">June 30, </w:t>
              <w:br/>
              <w:t>2023</w:t>
            </w:r>
          </w:p>
        </w:tc>
      </w:tr>
      <w:tr>
        <w:trPr/>
        <w:tc>
          <w:tcPr>
            <w:tcW w:w="1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Statutory tax rate</w:t>
            </w:r>
          </w:p>
        </w:tc>
        <w:tc>
          <w:tcPr>
            <w:tcW w:w="146"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5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5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59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exemption</w:t>
            </w:r>
          </w:p>
        </w:tc>
        <w:tc>
          <w:tcPr>
            <w:tcW w:w="146" w:type="dxa"/>
            <w:tcBorders/>
            <w:vAlign w:val="bottom"/>
          </w:tcPr>
          <w:p>
            <w:pPr>
              <w:pStyle w:val="TableContents"/>
              <w:bidi w:val="0"/>
              <w:spacing w:before="0" w:after="283"/>
              <w:jc w:val="left"/>
              <w:rPr/>
            </w:pPr>
            <w:r>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54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5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54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(16.5</w:t>
            </w:r>
          </w:p>
        </w:tc>
        <w:tc>
          <w:tcPr>
            <w:tcW w:w="5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8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tax rate</w:t>
            </w:r>
          </w:p>
        </w:tc>
        <w:tc>
          <w:tcPr>
            <w:tcW w:w="146" w:type="dxa"/>
            <w:tcBorders/>
            <w:shd w:fill="CCEEFF" w:val="clear"/>
            <w:vAlign w:val="bottom"/>
          </w:tcPr>
          <w:p>
            <w:pPr>
              <w:pStyle w:val="TableContents"/>
              <w:bidi w:val="0"/>
              <w:spacing w:before="0" w:after="283"/>
              <w:jc w:val="left"/>
              <w:rPr/>
            </w:pPr>
            <w:r>
              <w:rPr/>
              <w:t> </w:t>
            </w:r>
          </w:p>
        </w:tc>
        <w:tc>
          <w:tcPr>
            <w:tcW w:w="8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5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5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5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59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 SHAREHOLDERS’ EQUITY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Ordinary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on July 4, 2023 as a holding company. The Company’s authorized share capital is $50,000 divided into 500,000,000 ordinary shares of a par value of $0.0001 each. The number of ordinary shares issued and outstanding was 92.1 as of July 4, 2023.</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Recapitalization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April 15, 2024, the Company effectuated a series of share recapitalizations (the “Recapitalization”). As a result of the Recapitalization, the Company had nominal issuance of 25,000,001 ordinary shares to the existing ordinary shareholders, after which, the Company has an aggregated of 25,000,001 ordinary shares issued and outstanding. The Company believes that the Recapitalization should be accounted for on a retroactive basis pursuant to ASC 260. All ordinary shares and per share data for all periods have been retroactively restated accordingly.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Initial Public Offering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completed its Initial Public Offering (“IPO”) on March 28, 2025 issuing 1,500,000 ordinary shares, par value $0.0001 per share, with total gross proceeds of $10,500,000, before deducting underwriting discounts and other offering expenses. Net proceeds amounted $9,495,017 were received.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7, 2025, Kingswood Capital Partners, LLC. (“Kingswood”), as the representative of the underwriters, exercised its over-allotment option in part to purchase an additional 175,000 ordinary shares par value US$0.0001 per share of the Company at the public offering price of $7.00 per share, before deducting underwriting discounts. The Group received $1,139,244 net proceeds from the over-allotment on April 8,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Private Placements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independent investors signed agreements with the Company on March 11, 2024 to invest in aggregated of approximately $3.0 million (or $1.5 million per each investor) in exchange for total of 500,002 ordinary shares of the Company (or 250,001 ordinary shares per each investor). As of June 30, 2025, the Company received $3.0 million. The related issuance of the ordinary shares for the private placement was completed on April 8, 2024, which was accounted as a standalone private placement, separate from the Recapitalization. The proceeds received by the Company related to this private placement amounted to $1,350,000 and $1,649,985 for the years ended June 30, 2025 and 2024, respectively.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Dividends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declared and paid by the subsidiaries of the Group for the years ended June 30, 2025, 2024 and 2023 are listed below:</w:t>
      </w:r>
    </w:p>
    <w:tbl>
      <w:tblPr>
        <w:tblW w:w="9218" w:type="dxa"/>
        <w:jc w:val="left"/>
        <w:tblInd w:w="0" w:type="dxa"/>
        <w:tblLayout w:type="fixed"/>
        <w:tblCellMar>
          <w:top w:w="0" w:type="dxa"/>
          <w:left w:w="0" w:type="dxa"/>
          <w:bottom w:w="0" w:type="dxa"/>
          <w:right w:w="0" w:type="dxa"/>
        </w:tblCellMar>
      </w:tblPr>
      <w:tblGrid>
        <w:gridCol w:w="1441"/>
        <w:gridCol w:w="146"/>
        <w:gridCol w:w="2026"/>
        <w:gridCol w:w="146"/>
        <w:gridCol w:w="286"/>
        <w:gridCol w:w="1246"/>
        <w:gridCol w:w="146"/>
        <w:gridCol w:w="3781"/>
      </w:tblGrid>
      <w:tr>
        <w:trPr/>
        <w:tc>
          <w:tcPr>
            <w:tcW w:w="14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Subsidiaries</w:t>
            </w:r>
          </w:p>
        </w:tc>
        <w:tc>
          <w:tcPr>
            <w:tcW w:w="146" w:type="dxa"/>
            <w:tcBorders/>
            <w:vAlign w:val="bottom"/>
          </w:tcPr>
          <w:p>
            <w:pPr>
              <w:pStyle w:val="TableContents"/>
              <w:bidi w:val="0"/>
              <w:spacing w:before="0" w:after="283"/>
              <w:jc w:val="left"/>
              <w:rPr/>
            </w:pPr>
            <w:r>
              <w:rP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Dividends</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w:t>
            </w:r>
          </w:p>
        </w:tc>
        <w:tc>
          <w:tcPr>
            <w:tcW w:w="146" w:type="dxa"/>
            <w:tcBorders/>
            <w:vAlign w:val="bottom"/>
          </w:tcPr>
          <w:p>
            <w:pPr>
              <w:pStyle w:val="TableContents"/>
              <w:bidi w:val="0"/>
              <w:spacing w:before="0" w:after="283"/>
              <w:jc w:val="left"/>
              <w:rPr/>
            </w:pPr>
            <w:r>
              <w:rPr/>
              <w:t> </w:t>
            </w:r>
          </w:p>
        </w:tc>
        <w:tc>
          <w:tcPr>
            <w:tcW w:w="37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Receiving Shareholder</w:t>
            </w:r>
          </w:p>
        </w:tc>
      </w:tr>
      <w:tr>
        <w:trPr/>
        <w:tc>
          <w:tcPr>
            <w:tcW w:w="14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8, 2023</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600,000</w:t>
            </w:r>
          </w:p>
        </w:tc>
        <w:tc>
          <w:tcPr>
            <w:tcW w:w="146" w:type="dxa"/>
            <w:tcBorders/>
            <w:shd w:fill="CCEEFF" w:val="clear"/>
          </w:tcPr>
          <w:p>
            <w:pPr>
              <w:pStyle w:val="TableContents"/>
              <w:bidi w:val="0"/>
              <w:spacing w:before="0" w:after="283"/>
              <w:jc w:val="left"/>
              <w:rPr/>
            </w:pPr>
            <w:r>
              <w:rPr/>
              <w:t> </w:t>
            </w:r>
          </w:p>
        </w:tc>
        <w:tc>
          <w:tcPr>
            <w:tcW w:w="378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r>
      <w:tr>
        <w:trPr/>
        <w:tc>
          <w:tcPr>
            <w:tcW w:w="14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Max Bright</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15, 2023</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3,700,000</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r>
      <w:tr>
        <w:trPr/>
        <w:tc>
          <w:tcPr>
            <w:tcW w:w="14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Creation</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15, 2023</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2,800,000</w:t>
            </w:r>
          </w:p>
        </w:tc>
        <w:tc>
          <w:tcPr>
            <w:tcW w:w="146" w:type="dxa"/>
            <w:tcBorders/>
            <w:shd w:fill="CCEEFF" w:val="clear"/>
          </w:tcPr>
          <w:p>
            <w:pPr>
              <w:pStyle w:val="TableContents"/>
              <w:bidi w:val="0"/>
              <w:spacing w:before="0" w:after="283"/>
              <w:jc w:val="left"/>
              <w:rPr/>
            </w:pPr>
            <w:r>
              <w:rPr/>
              <w:t> </w:t>
            </w:r>
          </w:p>
        </w:tc>
        <w:tc>
          <w:tcPr>
            <w:tcW w:w="378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r>
      <w:tr>
        <w:trPr/>
        <w:tc>
          <w:tcPr>
            <w:tcW w:w="14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Legend</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16, 2023</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3,700,000</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r>
      <w:tr>
        <w:trPr/>
        <w:tc>
          <w:tcPr>
            <w:tcW w:w="14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20, 2023</w:t>
            </w:r>
          </w:p>
        </w:tc>
        <w:tc>
          <w:tcPr>
            <w:tcW w:w="146" w:type="dxa"/>
            <w:tcBorders/>
            <w:shd w:fill="CCEEFF" w:val="clear"/>
          </w:tcPr>
          <w:p>
            <w:pPr>
              <w:pStyle w:val="TableContents"/>
              <w:bidi w:val="0"/>
              <w:spacing w:before="0" w:after="283"/>
              <w:jc w:val="left"/>
              <w:rPr/>
            </w:pPr>
            <w:r>
              <w:rPr/>
              <w:t> </w:t>
            </w:r>
          </w:p>
        </w:tc>
        <w:tc>
          <w:tcPr>
            <w:tcW w:w="286"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800,000</w:t>
            </w:r>
          </w:p>
        </w:tc>
        <w:tc>
          <w:tcPr>
            <w:tcW w:w="146" w:type="dxa"/>
            <w:tcBorders/>
            <w:shd w:fill="CCEEFF" w:val="clear"/>
          </w:tcPr>
          <w:p>
            <w:pPr>
              <w:pStyle w:val="TableContents"/>
              <w:bidi w:val="0"/>
              <w:spacing w:before="0" w:after="283"/>
              <w:jc w:val="left"/>
              <w:rPr/>
            </w:pPr>
            <w:r>
              <w:rPr/>
              <w:t> </w:t>
            </w:r>
          </w:p>
        </w:tc>
        <w:tc>
          <w:tcPr>
            <w:tcW w:w="378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r>
      <w:tr>
        <w:trPr/>
        <w:tc>
          <w:tcPr>
            <w:tcW w:w="14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Top Moral</w:t>
            </w:r>
          </w:p>
        </w:tc>
        <w:tc>
          <w:tcPr>
            <w:tcW w:w="146" w:type="dxa"/>
            <w:tcBorders/>
          </w:tcPr>
          <w:p>
            <w:pPr>
              <w:pStyle w:val="TableContents"/>
              <w:bidi w:val="0"/>
              <w:spacing w:before="0" w:after="283"/>
              <w:jc w:val="left"/>
              <w:rPr/>
            </w:pPr>
            <w:r>
              <w:rPr/>
              <w:t> </w:t>
            </w:r>
          </w:p>
        </w:tc>
        <w:tc>
          <w:tcPr>
            <w:tcW w:w="20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12, 2024</w:t>
            </w:r>
          </w:p>
        </w:tc>
        <w:tc>
          <w:tcPr>
            <w:tcW w:w="146" w:type="dxa"/>
            <w:tcBorders/>
          </w:tcPr>
          <w:p>
            <w:pPr>
              <w:pStyle w:val="TableContents"/>
              <w:bidi w:val="0"/>
              <w:spacing w:before="0" w:after="283"/>
              <w:jc w:val="left"/>
              <w:rPr/>
            </w:pPr>
            <w:r>
              <w:rPr/>
              <w:t> </w:t>
            </w:r>
          </w:p>
        </w:tc>
        <w:tc>
          <w:tcPr>
            <w:tcW w:w="286"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200,000</w:t>
            </w:r>
          </w:p>
        </w:tc>
        <w:tc>
          <w:tcPr>
            <w:tcW w:w="146" w:type="dxa"/>
            <w:tcBorders/>
          </w:tcPr>
          <w:p>
            <w:pPr>
              <w:pStyle w:val="TableContents"/>
              <w:bidi w:val="0"/>
              <w:spacing w:before="0" w:after="283"/>
              <w:jc w:val="left"/>
              <w:rPr/>
            </w:pPr>
            <w:r>
              <w:rPr/>
              <w:t> </w:t>
            </w:r>
          </w:p>
        </w:tc>
        <w:tc>
          <w:tcPr>
            <w:tcW w:w="378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Ocean Master Worldwide Corporation</w:t>
            </w:r>
          </w:p>
        </w:tc>
      </w:tr>
      <w:tr>
        <w:trPr/>
        <w:tc>
          <w:tcPr>
            <w:tcW w:w="1441"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tcPr>
          <w:p>
            <w:pPr>
              <w:pStyle w:val="TableContents"/>
              <w:bidi w:val="0"/>
              <w:spacing w:before="0" w:after="283"/>
              <w:jc w:val="left"/>
              <w:rPr/>
            </w:pPr>
            <w:r>
              <w:rPr/>
              <w:t> </w:t>
            </w:r>
          </w:p>
        </w:tc>
        <w:tc>
          <w:tcPr>
            <w:tcW w:w="202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11,800,000</w:t>
            </w:r>
          </w:p>
        </w:tc>
        <w:tc>
          <w:tcPr>
            <w:tcW w:w="146" w:type="dxa"/>
            <w:tcBorders/>
            <w:shd w:fill="CCEEFF" w:val="clear"/>
          </w:tcPr>
          <w:p>
            <w:pPr>
              <w:pStyle w:val="TableContents"/>
              <w:bidi w:val="0"/>
              <w:spacing w:before="0" w:after="283"/>
              <w:jc w:val="left"/>
              <w:rPr/>
            </w:pPr>
            <w:r>
              <w:rPr/>
              <w:t> </w:t>
            </w:r>
          </w:p>
        </w:tc>
        <w:tc>
          <w:tcPr>
            <w:tcW w:w="3781" w:type="dxa"/>
            <w:tcBorders/>
            <w:shd w:fill="CCEEFF" w:val="clear"/>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0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12 — SHAREHOLDERS’ EQUITY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March 31, 2025, the Company issued 83,750 warrants to Kingswood Capital Partners, LLC as additional compensation for underwriter services. Each warrant entitles the holder to purchase one ordinary share. The warrants are exercisable at any time and from time to time from September 30, 2025 to March 31, 2030 at an exercise price of $8.40 per share. Since the warrants are indexed to the Company’s own stock and meet all other conditions for equity classification, the Company classified the warrants in stockholders’ equity as part of additional paid-in capital, and no subsequent re-measurement is required. The fair value of the warrants as of March 31, 2025 was $386,644, measured using the Black-Scholes option pricing model with the following key assumptions:</w:t>
      </w:r>
    </w:p>
    <w:tbl>
      <w:tblPr>
        <w:tblW w:w="4227" w:type="dxa"/>
        <w:jc w:val="left"/>
        <w:tblInd w:w="0" w:type="dxa"/>
        <w:tblLayout w:type="fixed"/>
        <w:tblCellMar>
          <w:top w:w="0" w:type="dxa"/>
          <w:left w:w="0" w:type="dxa"/>
          <w:bottom w:w="0" w:type="dxa"/>
          <w:right w:w="0" w:type="dxa"/>
        </w:tblCellMar>
      </w:tblPr>
      <w:tblGrid>
        <w:gridCol w:w="2806"/>
        <w:gridCol w:w="146"/>
        <w:gridCol w:w="928"/>
        <w:gridCol w:w="347"/>
      </w:tblGrid>
      <w:tr>
        <w:trPr/>
        <w:tc>
          <w:tcPr>
            <w:tcW w:w="28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7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of </w:t>
              <w:br/>
              <w:t xml:space="preserve">March 31, </w:t>
              <w:br/>
              <w:t>2025</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w:t>
            </w:r>
          </w:p>
        </w:tc>
        <w:tc>
          <w:tcPr>
            <w:tcW w:w="146"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c>
          <w:tcPr>
            <w:tcW w:w="34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average volatility</w:t>
            </w:r>
          </w:p>
        </w:tc>
        <w:tc>
          <w:tcPr>
            <w:tcW w:w="146" w:type="dxa"/>
            <w:tcBorders/>
            <w:vAlign w:val="bottom"/>
          </w:tcPr>
          <w:p>
            <w:pPr>
              <w:pStyle w:val="TableContents"/>
              <w:bidi w:val="0"/>
              <w:spacing w:before="0" w:after="283"/>
              <w:jc w:val="left"/>
              <w:rPr/>
            </w:pPr>
            <w:r>
              <w:rPr/>
              <w:t> </w:t>
            </w:r>
          </w:p>
        </w:tc>
        <w:tc>
          <w:tcPr>
            <w:tcW w:w="92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121.1</w:t>
            </w:r>
          </w:p>
        </w:tc>
        <w:tc>
          <w:tcPr>
            <w:tcW w:w="34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34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8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Risk-free interest rate</w:t>
            </w:r>
          </w:p>
        </w:tc>
        <w:tc>
          <w:tcPr>
            <w:tcW w:w="146" w:type="dxa"/>
            <w:tcBorders/>
            <w:vAlign w:val="bottom"/>
          </w:tcPr>
          <w:p>
            <w:pPr>
              <w:pStyle w:val="TableContents"/>
              <w:bidi w:val="0"/>
              <w:spacing w:before="0" w:after="283"/>
              <w:jc w:val="left"/>
              <w:rPr/>
            </w:pPr>
            <w:r>
              <w:rPr/>
              <w:t> </w:t>
            </w:r>
          </w:p>
        </w:tc>
        <w:tc>
          <w:tcPr>
            <w:tcW w:w="928"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w:t>
            </w:r>
          </w:p>
        </w:tc>
        <w:tc>
          <w:tcPr>
            <w:tcW w:w="34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warrants activity was as follows:</w:t>
      </w:r>
    </w:p>
    <w:tbl>
      <w:tblPr>
        <w:tblW w:w="10205" w:type="dxa"/>
        <w:jc w:val="left"/>
        <w:tblInd w:w="0" w:type="dxa"/>
        <w:tblLayout w:type="fixed"/>
        <w:tblCellMar>
          <w:top w:w="0" w:type="dxa"/>
          <w:left w:w="0" w:type="dxa"/>
          <w:bottom w:w="0" w:type="dxa"/>
          <w:right w:w="0" w:type="dxa"/>
        </w:tblCellMar>
      </w:tblPr>
      <w:tblGrid>
        <w:gridCol w:w="4406"/>
        <w:gridCol w:w="146"/>
        <w:gridCol w:w="1190"/>
        <w:gridCol w:w="146"/>
        <w:gridCol w:w="1185"/>
        <w:gridCol w:w="146"/>
        <w:gridCol w:w="1365"/>
        <w:gridCol w:w="146"/>
        <w:gridCol w:w="1475"/>
      </w:tblGrid>
      <w:tr>
        <w:trPr/>
        <w:tc>
          <w:tcPr>
            <w:tcW w:w="44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9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warrants</w:t>
            </w:r>
          </w:p>
        </w:tc>
        <w:tc>
          <w:tcPr>
            <w:tcW w:w="146" w:type="dxa"/>
            <w:tcBorders/>
            <w:vAlign w:val="bottom"/>
          </w:tcPr>
          <w:p>
            <w:pPr>
              <w:pStyle w:val="TableContents"/>
              <w:bidi w:val="0"/>
              <w:spacing w:before="0" w:after="283"/>
              <w:jc w:val="left"/>
              <w:rPr/>
            </w:pPr>
            <w:r>
              <w:rPr/>
              <w:t> </w:t>
            </w:r>
          </w:p>
        </w:tc>
        <w:tc>
          <w:tcPr>
            <w:tcW w:w="118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 xml:space="preserve">price per </w:t>
              <w:br/>
              <w:t>hare</w:t>
            </w:r>
          </w:p>
        </w:tc>
        <w:tc>
          <w:tcPr>
            <w:tcW w:w="146" w:type="dxa"/>
            <w:tcBorders/>
            <w:vAlign w:val="bottom"/>
          </w:tcPr>
          <w:p>
            <w:pPr>
              <w:pStyle w:val="TableContents"/>
              <w:bidi w:val="0"/>
              <w:spacing w:before="0" w:after="283"/>
              <w:jc w:val="left"/>
              <w:rPr/>
            </w:pPr>
            <w:r>
              <w:rPr/>
              <w:t> </w:t>
            </w:r>
          </w:p>
        </w:tc>
        <w:tc>
          <w:tcPr>
            <w:tcW w:w="136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 xml:space="preserve">contractual </w:t>
              <w:br/>
              <w:t>life</w:t>
            </w:r>
          </w:p>
        </w:tc>
        <w:tc>
          <w:tcPr>
            <w:tcW w:w="146" w:type="dxa"/>
            <w:tcBorders/>
            <w:vAlign w:val="bottom"/>
          </w:tcPr>
          <w:p>
            <w:pPr>
              <w:pStyle w:val="TableContents"/>
              <w:bidi w:val="0"/>
              <w:spacing w:before="0" w:after="283"/>
              <w:jc w:val="left"/>
              <w:rPr/>
            </w:pPr>
            <w:r>
              <w:rPr/>
              <w:t> </w:t>
            </w:r>
          </w:p>
        </w:tc>
        <w:tc>
          <w:tcPr>
            <w:tcW w:w="147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Expiration </w:t>
              <w:br/>
              <w:t>dates</w:t>
            </w:r>
          </w:p>
        </w:tc>
      </w:tr>
      <w:tr>
        <w:trPr/>
        <w:tc>
          <w:tcPr>
            <w:tcW w:w="4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of warrants outstanding as of June 30, 2024</w:t>
            </w:r>
          </w:p>
        </w:tc>
        <w:tc>
          <w:tcPr>
            <w:tcW w:w="146" w:type="dxa"/>
            <w:tcBorders/>
            <w:shd w:fill="CCEEFF" w:val="clear"/>
            <w:vAlign w:val="bottom"/>
          </w:tcPr>
          <w:p>
            <w:pPr>
              <w:pStyle w:val="TableContents"/>
              <w:bidi w:val="0"/>
              <w:spacing w:before="0" w:after="283"/>
              <w:jc w:val="left"/>
              <w:rPr/>
            </w:pPr>
            <w:r>
              <w:rPr/>
              <w:t> </w:t>
            </w:r>
          </w:p>
        </w:tc>
        <w:tc>
          <w:tcPr>
            <w:tcW w:w="119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keepNext w:val="false"/>
              <w:widowControl/>
              <w:pBdr/>
              <w:bidi w:val="0"/>
              <w:spacing w:before="0" w:after="283"/>
              <w:ind w:left="0" w:right="60" w:hanging="0"/>
              <w:jc w:val="center"/>
              <w:rPr>
                <w:caps w:val="false"/>
                <w:smallCaps w:val="false"/>
              </w:rPr>
            </w:pPr>
            <w:r>
              <w:rPr>
                <w:caps w:val="false"/>
                <w:smallCaps w:val="false"/>
              </w:rPr>
              <w:t>—</w:t>
            </w:r>
          </w:p>
        </w:tc>
      </w:tr>
      <w:tr>
        <w:trPr/>
        <w:tc>
          <w:tcPr>
            <w:tcW w:w="44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xml:space="preserve">– </w:t>
            </w:r>
            <w:r>
              <w:rPr>
                <w:rFonts w:ascii="Times New Roman PS Std;serif" w:hAnsi="Times New Roman PS Std;serif"/>
                <w:b w:val="false"/>
                <w:i w:val="false"/>
                <w:caps w:val="false"/>
                <w:smallCaps w:val="false"/>
                <w:sz w:val="20"/>
              </w:rPr>
              <w:t>March 2025 Warrants</w:t>
            </w:r>
          </w:p>
        </w:tc>
        <w:tc>
          <w:tcPr>
            <w:tcW w:w="146" w:type="dxa"/>
            <w:tcBorders/>
            <w:vAlign w:val="bottom"/>
          </w:tcPr>
          <w:p>
            <w:pPr>
              <w:pStyle w:val="TableContents"/>
              <w:bidi w:val="0"/>
              <w:spacing w:before="0" w:after="283"/>
              <w:jc w:val="left"/>
              <w:rPr/>
            </w:pPr>
            <w:r>
              <w:rPr/>
              <w:t> </w:t>
            </w:r>
          </w:p>
        </w:tc>
        <w:tc>
          <w:tcPr>
            <w:tcW w:w="11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83,750</w:t>
            </w:r>
          </w:p>
        </w:tc>
        <w:tc>
          <w:tcPr>
            <w:tcW w:w="146" w:type="dxa"/>
            <w:tcBorders/>
            <w:vAlign w:val="bottom"/>
          </w:tcPr>
          <w:p>
            <w:pPr>
              <w:pStyle w:val="TableContents"/>
              <w:bidi w:val="0"/>
              <w:spacing w:before="0" w:after="283"/>
              <w:jc w:val="left"/>
              <w:rPr/>
            </w:pPr>
            <w:r>
              <w:rPr/>
              <w:t> </w:t>
            </w:r>
          </w:p>
        </w:tc>
        <w:tc>
          <w:tcPr>
            <w:tcW w:w="11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8.40</w:t>
            </w:r>
          </w:p>
        </w:tc>
        <w:tc>
          <w:tcPr>
            <w:tcW w:w="146" w:type="dxa"/>
            <w:tcBorders/>
            <w:vAlign w:val="bottom"/>
          </w:tcPr>
          <w:p>
            <w:pPr>
              <w:pStyle w:val="TableContents"/>
              <w:bidi w:val="0"/>
              <w:spacing w:before="0" w:after="283"/>
              <w:jc w:val="left"/>
              <w:rPr/>
            </w:pPr>
            <w:r>
              <w:rPr/>
              <w:t> </w:t>
            </w:r>
          </w:p>
        </w:tc>
        <w:tc>
          <w:tcPr>
            <w:tcW w:w="136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years</w:t>
            </w:r>
          </w:p>
        </w:tc>
        <w:tc>
          <w:tcPr>
            <w:tcW w:w="146" w:type="dxa"/>
            <w:tcBorders/>
            <w:vAlign w:val="bottom"/>
          </w:tcPr>
          <w:p>
            <w:pPr>
              <w:pStyle w:val="TableContents"/>
              <w:bidi w:val="0"/>
              <w:spacing w:before="0" w:after="283"/>
              <w:jc w:val="left"/>
              <w:rPr/>
            </w:pPr>
            <w:r>
              <w:rPr/>
              <w:t> </w:t>
            </w:r>
          </w:p>
        </w:tc>
        <w:tc>
          <w:tcPr>
            <w:tcW w:w="147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2030</w:t>
            </w:r>
          </w:p>
        </w:tc>
      </w:tr>
      <w:tr>
        <w:trPr/>
        <w:tc>
          <w:tcPr>
            <w:tcW w:w="44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Balance of warrants outstanding and exercisable as of June 30, 2025</w:t>
            </w:r>
          </w:p>
        </w:tc>
        <w:tc>
          <w:tcPr>
            <w:tcW w:w="146" w:type="dxa"/>
            <w:tcBorders/>
            <w:shd w:fill="CCEEFF" w:val="clear"/>
            <w:vAlign w:val="bottom"/>
          </w:tcPr>
          <w:p>
            <w:pPr>
              <w:pStyle w:val="TableContents"/>
              <w:bidi w:val="0"/>
              <w:spacing w:before="0" w:after="283"/>
              <w:jc w:val="left"/>
              <w:rPr/>
            </w:pPr>
            <w:r>
              <w:rPr/>
              <w:t> </w:t>
            </w:r>
          </w:p>
        </w:tc>
        <w:tc>
          <w:tcPr>
            <w:tcW w:w="11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83,750</w:t>
            </w:r>
          </w:p>
        </w:tc>
        <w:tc>
          <w:tcPr>
            <w:tcW w:w="146" w:type="dxa"/>
            <w:tcBorders/>
            <w:shd w:fill="CCEEFF" w:val="clear"/>
            <w:vAlign w:val="bottom"/>
          </w:tcPr>
          <w:p>
            <w:pPr>
              <w:pStyle w:val="TableContents"/>
              <w:bidi w:val="0"/>
              <w:spacing w:before="0" w:after="283"/>
              <w:jc w:val="left"/>
              <w:rPr/>
            </w:pPr>
            <w:r>
              <w:rPr/>
              <w:t> </w:t>
            </w:r>
          </w:p>
        </w:tc>
        <w:tc>
          <w:tcPr>
            <w:tcW w:w="118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8.40</w:t>
            </w:r>
          </w:p>
        </w:tc>
        <w:tc>
          <w:tcPr>
            <w:tcW w:w="146" w:type="dxa"/>
            <w:tcBorders/>
            <w:shd w:fill="CCEEFF" w:val="clear"/>
            <w:vAlign w:val="bottom"/>
          </w:tcPr>
          <w:p>
            <w:pPr>
              <w:pStyle w:val="TableContents"/>
              <w:bidi w:val="0"/>
              <w:spacing w:before="0" w:after="283"/>
              <w:jc w:val="left"/>
              <w:rPr/>
            </w:pPr>
            <w:r>
              <w:rPr/>
              <w:t> </w:t>
            </w:r>
          </w:p>
        </w:tc>
        <w:tc>
          <w:tcPr>
            <w:tcW w:w="13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4.75 years</w:t>
            </w:r>
          </w:p>
        </w:tc>
        <w:tc>
          <w:tcPr>
            <w:tcW w:w="146" w:type="dxa"/>
            <w:tcBorders/>
            <w:shd w:fill="CCEEFF" w:val="clear"/>
            <w:vAlign w:val="bottom"/>
          </w:tcPr>
          <w:p>
            <w:pPr>
              <w:pStyle w:val="TableContents"/>
              <w:bidi w:val="0"/>
              <w:spacing w:before="0" w:after="283"/>
              <w:jc w:val="left"/>
              <w:rPr/>
            </w:pPr>
            <w:r>
              <w:rPr/>
              <w:t> </w:t>
            </w:r>
          </w:p>
        </w:tc>
        <w:tc>
          <w:tcPr>
            <w:tcW w:w="1475" w:type="dxa"/>
            <w:tcBorders/>
            <w:shd w:fill="CCEEFF" w:val="clear"/>
            <w:vAlign w:val="bottom"/>
          </w:tcPr>
          <w:p>
            <w:pPr>
              <w:pStyle w:val="TableContents"/>
              <w:bidi w:val="0"/>
              <w:spacing w:before="0" w:after="283"/>
              <w:jc w:val="left"/>
              <w:rPr/>
            </w:pPr>
            <w:r>
              <w:rPr/>
              <w:t> </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 COMMITMENTS AND CONTINGENCIES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u w:val="single"/>
        </w:rPr>
      </w:pPr>
      <w:r>
        <w:rPr>
          <w:rFonts w:ascii="Times New Roman PS Std;serif" w:hAnsi="Times New Roman PS Std;serif"/>
          <w:b/>
          <w:i/>
          <w:caps w:val="false"/>
          <w:smallCaps w:val="false"/>
          <w:sz w:val="20"/>
          <w:u w:val="single"/>
        </w:rPr>
        <w:t>Contingencies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may be involved in various legal proceedings, claims and other disputes arising from the commercial operations, projects, employees and other matters which, in general, are subject to uncertainties and in which the outcomes are not predictable. The Group determines whether an estimated loss from a contingency should be accrued by assessing whether a loss is deemed probable and can be reasonably estimated. Although the Group can give no assurances about the resolution of pending claims, litigation or other disputes and the effect such outcomes may have on the Group, the Group believes that any ultimate liability resulting from the outcome of such proceedings, to the extent not otherwise provided or covered by insurance, will not have a material adverse effect on the Group’s combined and consolidated financial position or results of operations or liquidity.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2025 and 2024, no significant financial nor capital commitments and contingencies existed.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NOTES TO COMBINED AND CONSOLIDATED FINANCIAL STATEMENTS</w:t>
        <w:br/>
        <w:t>(Expressed in U.S. Dollars — except for share data)</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 SUBSEQUENT EVENTS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10, 2025, the Company entered into a consulting agreement with JA CAPITAL IN NY L.L.C. to enhance its U.S. capital market branding and investor communications with a twelve-month service period. Full payment of $600,000 was made on September 18,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12, 2025, the Company entered into a financial advisory agreement with Atlas Capital Strategies LLC to optimize capital structure and support financing and M&amp;A strategies with a twelve-month service period. Full payment of $1,317,000 was made on September 18,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20, 2025, the Company entered into an Ordinary Share Purchase Agreement with White Lion Capital LLC, a Nevada limited liability company (the “White Lion Capital”). Pursuant to the Purchase Agreement, White Lion Capital is committed to purchase our ordinary shares, par value US$0.0001 per share, with an aggregate gross purchase price of up to $10,000,000 from time to time during the period commencing on August 20, 2025 and ending on the earlier of (i) the date on which White Lion Capital shall have purchased an aggregate number of our ordinary shares equal to the Commitment Amount or (ii) the later of the 18 month anniversary of the Execution Date or the first closing. The Commitment Amount may be increased up to $30,000,000 upon the mutual written consent of White Lion Capital and us.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4, 2025, the Company entered into a Securities Purchase Agreement (the “Purchase Agreement”) with Streeterville Capital, LLC, a Utah limited liability company (the “Investor”). Pursuant to the Purchase Agreement, the Investor agreed to purchase from the Company, and the Company agreed to issue and sell to the Investor, (i) securities in the form of one or more pre-paid purchases (each, a “Pre-Paid Purchase” and collectively, the “Pre-Paid Purchases”) in the aggregate purchase amount of up to $10,000,000 (the “Commitment Amount”), for the purchase of ordinary shares, par value $0.0001 per share, of Company (the “Ordinary Shares”), upon the terms and subject to the limitations and conditions set forth in such Pre-Paid Purchase; (ii) 85,470 Ordinary Shares as a commitment fee for the Pre-Paid Purchase facility set forth in the Purchase Agreement (the “Commitment Shares”); and (iii) 2,555,000 Ordinary Shares to be used as pre-delivery shares (the “Pre-Delivery Shares”) on September 9, 2025 (the “Closing Date”). The Purchase Agreement provides for an initial Pre-Paid Purchase in the principal amount of $2,175,000, before deducting an original issue discount (the “OID”) of $160,000 and a transaction expense amount of $15,000 (the “Initial Pre-Paid Purchase”). The Company received net proceeds of $2,000,000 on September 10, 2025. The Commitment Shares and the Pre-Delivery Shares were issued to the investor on September 9, 2025. The OID for each subsequent Pre-Paid Purchase after the Initial Pre-Paid Purchase will be eight percent (8%) of the amount set forth in the applicable Request (as defined in the Purchase Agreement) and each subsequent Pre-Paid Purchase will accrue interest at the rate of six percent (6%) per annum. In addition, Investor also paid $255.50 to Company for the Pre-Delivery Shares. The initial Pre-Paid Purchase may be settled, at the Investor’s discretion, in Ordinary Shares valued at 82.5% of the lowest daily volume-weighted average price (VWAP) during the ten (10) trading days prior to each Purchase Notice Date (as defined in the Purchase Agreement). The Company may not issue shares that would cause the Investor to beneficially own more than 9.99% of the Company’s outstanding Ordinary Shares at any time.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22, 2025, the Company entered into a consulting agreement with Atlas Harbor Investment Limited for comprehensive advisory services including market analysis, regulatory assessment, and business development support with a twelve-month service period. Full payment of $2,057,000 was made on September 29,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Group evaluated all events and transactions that occurred after June 30, 2025 up through the date when the combined and consolidated financial statements were issued. Other than the events disclosed elsewhere in the combined and consolidated financial statements and those disclosed above, there are no other subsequent event occurred that would require adjustment or disclosure in the Group’s combined and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PART II</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NOT REQUIRED IN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6. INDEMNIFICATION OF DIRECTORS AND OFFICERS.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memorandum and articles of the Company provide that every director (including any alternate director), secretary, assistant secretary, or other officer for the time being and from time to time of our company (but not including our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our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form of indemnification agreements filed as Exhibit 10.11 to this registration statement, we will agree to indemnify our directors and executive officers against certain liabilities and expenses incurred by such persons in connection with claims made by reason of their being such a director or executive officer.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7. RECENT SALES OF UNREGISTERED SECURITIES.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past three years, Intercont has issued and sold the securities described below without registering the securities under the Securities Act. None of these transactions involved any underwriters’ underwriting discounts or any public offering. We believe that each of the following issuances to private placement investors was exempt from registration under the Securities Act in reliance on Regulation S under the Securities Act or pursuant to Section 4(2) of the Securities Act regarding transactions not involving a public offering.</w:t>
      </w:r>
    </w:p>
    <w:tbl>
      <w:tblPr>
        <w:tblW w:w="10205" w:type="dxa"/>
        <w:jc w:val="left"/>
        <w:tblInd w:w="0" w:type="dxa"/>
        <w:tblLayout w:type="fixed"/>
        <w:tblCellMar>
          <w:top w:w="0" w:type="dxa"/>
          <w:left w:w="0" w:type="dxa"/>
          <w:bottom w:w="0" w:type="dxa"/>
          <w:right w:w="0" w:type="dxa"/>
        </w:tblCellMar>
      </w:tblPr>
      <w:tblGrid>
        <w:gridCol w:w="3756"/>
        <w:gridCol w:w="146"/>
        <w:gridCol w:w="1788"/>
        <w:gridCol w:w="146"/>
        <w:gridCol w:w="2506"/>
        <w:gridCol w:w="146"/>
        <w:gridCol w:w="545"/>
        <w:gridCol w:w="1172"/>
      </w:tblGrid>
      <w:tr>
        <w:trPr/>
        <w:tc>
          <w:tcPr>
            <w:tcW w:w="37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Purchaser</w:t>
            </w:r>
          </w:p>
        </w:tc>
        <w:tc>
          <w:tcPr>
            <w:tcW w:w="146" w:type="dxa"/>
            <w:tcBorders/>
            <w:vAlign w:val="bottom"/>
          </w:tcPr>
          <w:p>
            <w:pPr>
              <w:pStyle w:val="TableContents"/>
              <w:bidi w:val="0"/>
              <w:spacing w:before="0" w:after="283"/>
              <w:jc w:val="left"/>
              <w:rPr/>
            </w:pPr>
            <w:r>
              <w:rPr/>
              <w:t> </w:t>
            </w:r>
          </w:p>
        </w:tc>
        <w:tc>
          <w:tcPr>
            <w:tcW w:w="178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 of Issuance</w:t>
            </w:r>
          </w:p>
        </w:tc>
        <w:tc>
          <w:tcPr>
            <w:tcW w:w="146" w:type="dxa"/>
            <w:tcBorders/>
            <w:vAlign w:val="bottom"/>
          </w:tcPr>
          <w:p>
            <w:pPr>
              <w:pStyle w:val="TableContents"/>
              <w:bidi w:val="0"/>
              <w:spacing w:before="0" w:after="283"/>
              <w:jc w:val="left"/>
              <w:rPr/>
            </w:pPr>
            <w:r>
              <w:rPr/>
              <w:t> </w:t>
            </w:r>
          </w:p>
        </w:tc>
        <w:tc>
          <w:tcPr>
            <w:tcW w:w="25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 of Securities</w:t>
            </w:r>
          </w:p>
        </w:tc>
        <w:tc>
          <w:tcPr>
            <w:tcW w:w="146" w:type="dxa"/>
            <w:tcBorders/>
            <w:vAlign w:val="bottom"/>
          </w:tcPr>
          <w:p>
            <w:pPr>
              <w:pStyle w:val="TableContents"/>
              <w:bidi w:val="0"/>
              <w:spacing w:before="0" w:after="283"/>
              <w:jc w:val="left"/>
              <w:rPr/>
            </w:pPr>
            <w:r>
              <w:rPr/>
              <w:t> </w:t>
            </w:r>
          </w:p>
        </w:tc>
        <w:tc>
          <w:tcPr>
            <w:tcW w:w="17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Consideration</w:t>
            </w:r>
          </w:p>
        </w:tc>
      </w:tr>
      <w:tr>
        <w:trPr/>
        <w:tc>
          <w:tcPr>
            <w:tcW w:w="3756"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Evolens Limited</w:t>
            </w:r>
          </w:p>
        </w:tc>
        <w:tc>
          <w:tcPr>
            <w:tcW w:w="146" w:type="dxa"/>
            <w:tcBorders/>
            <w:shd w:fill="CCEEFF" w:val="clear"/>
          </w:tcPr>
          <w:p>
            <w:pPr>
              <w:pStyle w:val="TableContents"/>
              <w:bidi w:val="0"/>
              <w:spacing w:before="0" w:after="283"/>
              <w:jc w:val="left"/>
              <w:rPr/>
            </w:pPr>
            <w:r>
              <w:rPr/>
              <w:t> </w:t>
            </w:r>
          </w:p>
        </w:tc>
        <w:tc>
          <w:tcPr>
            <w:tcW w:w="1788"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8, 2024</w:t>
            </w:r>
          </w:p>
        </w:tc>
        <w:tc>
          <w:tcPr>
            <w:tcW w:w="146" w:type="dxa"/>
            <w:tcBorders/>
            <w:shd w:fill="CCEEFF" w:val="clear"/>
          </w:tcPr>
          <w:p>
            <w:pPr>
              <w:pStyle w:val="TableContents"/>
              <w:bidi w:val="0"/>
              <w:spacing w:before="0" w:after="283"/>
              <w:jc w:val="left"/>
              <w:rPr/>
            </w:pPr>
            <w:r>
              <w:rPr/>
              <w:t> </w:t>
            </w:r>
          </w:p>
        </w:tc>
        <w:tc>
          <w:tcPr>
            <w:tcW w:w="250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250,001 Ordinary Shares</w:t>
            </w:r>
          </w:p>
        </w:tc>
        <w:tc>
          <w:tcPr>
            <w:tcW w:w="146" w:type="dxa"/>
            <w:tcBorders/>
            <w:shd w:fill="CCEEFF" w:val="clear"/>
          </w:tcPr>
          <w:p>
            <w:pPr>
              <w:pStyle w:val="TableContents"/>
              <w:bidi w:val="0"/>
              <w:spacing w:before="0" w:after="283"/>
              <w:jc w:val="left"/>
              <w:rPr/>
            </w:pPr>
            <w:r>
              <w:rPr/>
              <w:t> </w:t>
            </w:r>
          </w:p>
        </w:tc>
        <w:tc>
          <w:tcPr>
            <w:tcW w:w="545" w:type="dxa"/>
            <w:tcBorders/>
            <w:shd w:fill="CCEEFF" w:val="clear"/>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172"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w:t>
            </w:r>
          </w:p>
        </w:tc>
      </w:tr>
      <w:tr>
        <w:trPr/>
        <w:tc>
          <w:tcPr>
            <w:tcW w:w="375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Seacon Shipping Group Holdings Limited</w:t>
            </w:r>
          </w:p>
        </w:tc>
        <w:tc>
          <w:tcPr>
            <w:tcW w:w="146" w:type="dxa"/>
            <w:tcBorders/>
          </w:tcPr>
          <w:p>
            <w:pPr>
              <w:pStyle w:val="TableContents"/>
              <w:bidi w:val="0"/>
              <w:spacing w:before="0" w:after="283"/>
              <w:jc w:val="left"/>
              <w:rPr/>
            </w:pPr>
            <w:r>
              <w:rPr/>
              <w:t> </w:t>
            </w:r>
          </w:p>
        </w:tc>
        <w:tc>
          <w:tcPr>
            <w:tcW w:w="1788"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8, 2024</w:t>
            </w:r>
          </w:p>
        </w:tc>
        <w:tc>
          <w:tcPr>
            <w:tcW w:w="146" w:type="dxa"/>
            <w:tcBorders/>
          </w:tcPr>
          <w:p>
            <w:pPr>
              <w:pStyle w:val="TableContents"/>
              <w:bidi w:val="0"/>
              <w:spacing w:before="0" w:after="283"/>
              <w:jc w:val="left"/>
              <w:rPr/>
            </w:pPr>
            <w:r>
              <w:rPr/>
              <w:t> </w:t>
            </w:r>
          </w:p>
        </w:tc>
        <w:tc>
          <w:tcPr>
            <w:tcW w:w="250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250,001 Ordinary Shares</w:t>
            </w:r>
          </w:p>
        </w:tc>
        <w:tc>
          <w:tcPr>
            <w:tcW w:w="146" w:type="dxa"/>
            <w:tcBorders/>
          </w:tcPr>
          <w:p>
            <w:pPr>
              <w:pStyle w:val="TableContents"/>
              <w:bidi w:val="0"/>
              <w:spacing w:before="0" w:after="283"/>
              <w:jc w:val="left"/>
              <w:rPr/>
            </w:pPr>
            <w:r>
              <w:rPr/>
              <w:t> </w:t>
            </w:r>
          </w:p>
        </w:tc>
        <w:tc>
          <w:tcPr>
            <w:tcW w:w="545" w:type="dxa"/>
            <w:tcBorders/>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w:t>
            </w:r>
          </w:p>
        </w:tc>
        <w:tc>
          <w:tcPr>
            <w:tcW w:w="1172"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1,500,000</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8. EXHIBITS AND FINANCIAL STATEMENT SCHEDULES.</w:t>
      </w:r>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Exhibits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Exhibit Index beginning on page II-5 of this registration statement.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Financial Statement Schedules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Schedules have been omitted because the information required to be set forth therein is not applicable or is shown in the Combined Financial Statements or the Notes thereto.</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ITEM 9. UNDERTAKINGS.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undersigned registrant hereby undertakes: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file, during any period in which offers or sales are being made, a post-effective amendment to this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To include any prospectus required by section 10(a)(3) of the Securities Act of 1933;</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remove from registration by means of a post-effective amendment any of the securities being registered which remain unsold at the termination of the offering.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That, for the purpose of determining liability under the Securities Act of 1933 to any purchaser: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If the registrant is relying on Rule 430B:</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92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Any preliminary prospectus or prospectus of the undersigned registrant relating to the offering required to be filed pursuant to Rule 424;</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(iv)   Any other communication that is an offer in the offering made by the undersigned registrant to the purchaser.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undersigned registrant hereby undertakes that:</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pStyle w:val="TextBody"/>
        <w:keepNext w:val="false"/>
        <w:pageBreakBefore w:val="false"/>
        <w:widowControl/>
        <w:pBdr/>
        <w:bidi w:val="0"/>
        <w:spacing w:before="160" w:after="283"/>
        <w:ind w:left="144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(2)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PS Std;serif" w:hAnsi="Times New Roman PS Std;serif"/>
          <w:b w:val="false"/>
          <w:i/>
          <w:caps w:val="false"/>
          <w:smallCaps w:val="false"/>
          <w:sz w:val="20"/>
        </w:rPr>
        <w:t>bona fide</w:t>
      </w:r>
      <w:r>
        <w:rPr>
          <w:rFonts w:ascii="Times New Roman PS Std;serif" w:hAnsi="Times New Roman PS Std;serif"/>
          <w:b w:val="false"/>
          <w:i w:val="false"/>
          <w:caps w:val="false"/>
          <w:smallCaps w:val="false"/>
          <w:sz w:val="20"/>
        </w:rPr>
        <w:t xml:space="preserve"> offering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INTERCONT (CAYMAN) LIMITED</w:t>
        <w:br/>
        <w:t>EXHIBIT INDEX</w:t>
      </w:r>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Placement Agency Agreement</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6">
              <w:r>
                <w:rPr>
                  <w:rStyle w:val="InternetLink"/>
                  <w:rFonts w:ascii="Times New Roman PS Std;serif" w:hAnsi="Times New Roman PS Std;serif"/>
                  <w:b w:val="false"/>
                  <w:i w:val="false"/>
                  <w:caps w:val="false"/>
                  <w:smallCaps w:val="false"/>
                  <w:sz w:val="20"/>
                </w:rPr>
                <w:t>Second Memorandum and Articles of Association of the Registrant, as currently in effect (incorporated by reference to Exhibit 99.1 submitted with Form 6-K on January 26, 2026)</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Registrant’s Specimen Class A Ordinary Shares</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Warrant</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WY Legal LLP as to the legality of the Class A Ordinary Shares being registered</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Jun He Law Offices regarding the enforceability of the Warrants</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WY Legal LLP regarding certain Cayman Island tax matters (included in Exhibit 5.1)</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Opinion of Lawrence Chan &amp; Co. regarding certain Hong Kong law matters and certain Hong Kong tax matters</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7">
              <w:r>
                <w:rPr>
                  <w:rStyle w:val="InternetLink"/>
                  <w:rFonts w:ascii="Times New Roman PS Std;serif" w:hAnsi="Times New Roman PS Std;serif"/>
                  <w:b w:val="false"/>
                  <w:i w:val="false"/>
                  <w:caps w:val="false"/>
                  <w:smallCaps w:val="false"/>
                  <w:sz w:val="20"/>
                </w:rPr>
                <w:t>Escrow Agreement between Mandarin Fortune Shipping Pte Ltd as Sellers and Top Moral Shipping Limited as Buyers, and Hill Dickinson LLP as Escrow Holder in relation to the sale and purchase of “MANDARIN FORTUNE (IMO no. 9478169)” dated March 8, 2022 (incorporated by reference to Exhibit 10.1 filed with registration statement F-1 of the Company (File No.: 333-282394)).</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8">
              <w:r>
                <w:rPr>
                  <w:rStyle w:val="InternetLink"/>
                  <w:rFonts w:ascii="Times New Roman PS Std;serif" w:hAnsi="Times New Roman PS Std;serif"/>
                  <w:b w:val="false"/>
                  <w:i w:val="false"/>
                  <w:caps w:val="false"/>
                  <w:smallCaps w:val="false"/>
                  <w:sz w:val="20"/>
                </w:rPr>
                <w:t>Standard Bareboat Charter between Zhejiang Shipping (Hong Kong) Co. Ltd. or their nominee as owner and Topsheen performance guaranteed by Topsheen Shipping Singapore Pte Ltd. as charterer dated January 14, 2021 (incorporated by reference to Exhibit 10.2 filed with registration statement F-1 of the Company (File No.: 333-282394)).</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9">
              <w:r>
                <w:rPr>
                  <w:rStyle w:val="InternetLink"/>
                  <w:rFonts w:ascii="Times New Roman PS Std;serif" w:hAnsi="Times New Roman PS Std;serif"/>
                  <w:b w:val="false"/>
                  <w:i w:val="false"/>
                  <w:caps w:val="false"/>
                  <w:smallCaps w:val="false"/>
                  <w:sz w:val="20"/>
                </w:rPr>
                <w:t>Standard Bareboat Charter between Topsheen Shipping Group Limited and by Max Bright Marine Service Co., Ltd. as charterer dated September 7, 2018 (incorporated by reference to Exhibit 10.3 filed with registration statement F-1 of the Company (File No.: 333-282394)).</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0">
              <w:r>
                <w:rPr>
                  <w:rStyle w:val="InternetLink"/>
                  <w:rFonts w:ascii="Times New Roman PS Std;serif" w:hAnsi="Times New Roman PS Std;serif"/>
                  <w:b w:val="false"/>
                  <w:i w:val="false"/>
                  <w:caps w:val="false"/>
                  <w:smallCaps w:val="false"/>
                  <w:sz w:val="20"/>
                </w:rPr>
                <w:t>Standard Bareboat Charter between Topsheen Shipping Group Limited and by Top Legend Shipping Co., Limited as charterer dated September 7, 2018 (incorporated by reference to Exhibit 10.4 filed with registration statement F-1 of the Company (File No.: 333-282394)).</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1">
              <w:r>
                <w:rPr>
                  <w:rStyle w:val="InternetLink"/>
                  <w:rFonts w:ascii="Times New Roman PS Std;serif" w:hAnsi="Times New Roman PS Std;serif"/>
                  <w:b w:val="false"/>
                  <w:i w:val="false"/>
                  <w:caps w:val="false"/>
                  <w:smallCaps w:val="false"/>
                  <w:sz w:val="20"/>
                </w:rPr>
                <w:t>Standard Vessel Management Agreement between Top Wisdom Shipping Management Co., Limited and Top Moral Shipping Limited dated August 12, 2022 (incorporated by reference to Exhibit 10.5 filed with registration statement F-1 of the Company (File No.: 333-282394)).</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2">
              <w:r>
                <w:rPr>
                  <w:rStyle w:val="InternetLink"/>
                  <w:rFonts w:ascii="Times New Roman PS Std;serif" w:hAnsi="Times New Roman PS Std;serif"/>
                  <w:b w:val="false"/>
                  <w:i w:val="false"/>
                  <w:caps w:val="false"/>
                  <w:smallCaps w:val="false"/>
                  <w:sz w:val="20"/>
                </w:rPr>
                <w:t>Standard Vessel Management Agreement between Top Wisdom Shipping Management Co., Limited and Top Creation International (HK) Limited dated January 1, 2022 (incorporated by reference to Exhibit 10.6 filed with registration statement F-1 of the Company (File No.: 333-282394)).</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3">
              <w:r>
                <w:rPr>
                  <w:rStyle w:val="InternetLink"/>
                  <w:rFonts w:ascii="Times New Roman PS Std;serif" w:hAnsi="Times New Roman PS Std;serif"/>
                  <w:b w:val="false"/>
                  <w:i w:val="false"/>
                  <w:caps w:val="false"/>
                  <w:smallCaps w:val="false"/>
                  <w:sz w:val="20"/>
                </w:rPr>
                <w:t>Standard Seafarer Dispatch Agreement between Top Wisdom Shipping Management Co., Limited and Top Moral Shipping Limited dated August 12, 2022 (incorporated by reference to Exhibit 10.7 filed with registration statement F-1 of the Company (File No.: 333-282394)).</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10.8***</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4">
              <w:r>
                <w:rPr>
                  <w:rStyle w:val="InternetLink"/>
                  <w:rFonts w:ascii="Times New Roman PS Std;serif" w:hAnsi="Times New Roman PS Std;serif"/>
                  <w:b w:val="false"/>
                  <w:i w:val="false"/>
                  <w:caps w:val="false"/>
                  <w:smallCaps w:val="false"/>
                  <w:sz w:val="20"/>
                </w:rPr>
                <w:t>Standard Seafarer Dispatch Agreement between Top Wisdom Shipping Management Co., Limited and Top Creation International (HK) Limited dated January 1, 2022 (incorporated by reference to Exhibit 10.8 filed with registration statement F-1 of the Company (File No.: 333-282394)).</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5">
              <w:r>
                <w:rPr>
                  <w:rStyle w:val="InternetLink"/>
                  <w:rFonts w:ascii="Times New Roman PS Std;serif" w:hAnsi="Times New Roman PS Std;serif"/>
                  <w:b w:val="false"/>
                  <w:i w:val="false"/>
                  <w:caps w:val="false"/>
                  <w:smallCaps w:val="false"/>
                  <w:sz w:val="20"/>
                </w:rPr>
                <w:t>The Facility Agreement entered into by and among Top Moral Shipping Limited (as Borrower), Topsheen Shipping Singapore Pte. Ltd. (as Guarantor), and Chailease International Financial Services (Singapore) Pte. Ltd. (as Lender) on August 3, 2022 (the “CIFSS Loan Agreement”) (incorporated by reference to Exhibit 10.9 filed with registration statement F-1 of the Company (File No.: 333-282394)).</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10.10***</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6">
              <w:r>
                <w:rPr>
                  <w:rStyle w:val="InternetLink"/>
                  <w:rFonts w:ascii="Times New Roman PS Std;serif" w:hAnsi="Times New Roman PS Std;serif"/>
                  <w:b w:val="false"/>
                  <w:i w:val="false"/>
                  <w:caps w:val="false"/>
                  <w:smallCaps w:val="false"/>
                  <w:sz w:val="20"/>
                </w:rPr>
                <w:t>Amendment to the CIFSS Loan Agreement dated March 23, 2023 (incorporated by reference to Exhibit 10.10 filed with registration statement F-1 of the Company (File No.: 333-282394)).</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7">
              <w:r>
                <w:rPr>
                  <w:rStyle w:val="InternetLink"/>
                  <w:rFonts w:ascii="Times New Roman PS Std;serif" w:hAnsi="Times New Roman PS Std;serif"/>
                  <w:b w:val="false"/>
                  <w:i w:val="false"/>
                  <w:caps w:val="false"/>
                  <w:smallCaps w:val="false"/>
                  <w:sz w:val="20"/>
                </w:rPr>
                <w:t>Form of Indemnification Agreement by and between the Registrant and executive officers and directors of the Registrant (incorporated by reference to Exhibit 10.11 filed with registration statement F-1 of the Company (File No.: 333-282394)).</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18">
              <w:r>
                <w:rPr>
                  <w:rStyle w:val="InternetLink"/>
                  <w:rFonts w:ascii="Times New Roman PS Std;serif" w:hAnsi="Times New Roman PS Std;serif"/>
                  <w:b w:val="false"/>
                  <w:i w:val="false"/>
                  <w:caps w:val="false"/>
                  <w:smallCaps w:val="false"/>
                  <w:sz w:val="20"/>
                </w:rPr>
                <w:t>English Translation of the Strategic Cooperation Memorandum entered into by and among Rockwell Automation (China) Company Limited, Intercont, and Top Wisdom on September 11, 2024 (incorporated by reference to Exhibit 10.12 filed with registration statement F-1 of the Company (File No.: 333-282394)).</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19">
              <w:r>
                <w:rPr>
                  <w:rStyle w:val="InternetLink"/>
                  <w:rFonts w:ascii="Times New Roman PS Std;serif" w:hAnsi="Times New Roman PS Std;serif"/>
                  <w:b w:val="false"/>
                  <w:i w:val="false"/>
                  <w:caps w:val="false"/>
                  <w:smallCaps w:val="false"/>
                  <w:sz w:val="20"/>
                </w:rPr>
                <w:t>English Translation of the Technology Workboat R&amp;D Service Contract (Phase 1) entered into by and between Intercont and Jiangsu Xinsihui Marine Technology Co., Ltd. on September 10, 2023 (incorporated by reference to Exhibit 10.13 filed with registration statement F-1 of the Company (File No.: 333-282394)).</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20">
              <w:r>
                <w:rPr>
                  <w:rStyle w:val="InternetLink"/>
                  <w:rFonts w:ascii="Times New Roman PS Std;serif" w:hAnsi="Times New Roman PS Std;serif"/>
                  <w:b w:val="false"/>
                  <w:i w:val="false"/>
                  <w:caps w:val="false"/>
                  <w:smallCaps w:val="false"/>
                  <w:sz w:val="20"/>
                </w:rPr>
                <w:t>English Translation of the Technology Workboat R&amp;D Service Contract (Phase 2) entered into by and between Intercont and Jiangsu Xinsihui Marine Technology Co., Ltd. on March 5, 2024 (incorporated by reference to Exhibit 10.14 filed with registration statement F-1 of the Company (File No.: 333-282394)).</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10.15***</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21">
              <w:r>
                <w:rPr>
                  <w:rStyle w:val="InternetLink"/>
                  <w:rFonts w:ascii="Times New Roman PS Std;serif" w:hAnsi="Times New Roman PS Std;serif"/>
                  <w:b w:val="false"/>
                  <w:i w:val="false"/>
                  <w:caps w:val="false"/>
                  <w:smallCaps w:val="false"/>
                  <w:sz w:val="20"/>
                </w:rPr>
                <w:t>English Translation of the License Agreement entered into by and between Intercont and Jiangsu Xinsihui Marine Technology Co., Ltd. on November 13, 2024 (incorporated by reference to Exhibit 10.15 filed with registration statement F-1 of the Company (File No.: 333-282394)).</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10.16***</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22">
              <w:r>
                <w:rPr>
                  <w:rStyle w:val="InternetLink"/>
                  <w:rFonts w:ascii="Times New Roman PS Std;serif" w:hAnsi="Times New Roman PS Std;serif"/>
                  <w:b w:val="false"/>
                  <w:i w:val="false"/>
                  <w:caps w:val="false"/>
                  <w:smallCaps w:val="false"/>
                  <w:sz w:val="20"/>
                </w:rPr>
                <w:t>Form Director Service Agreement (incorporated by reference to Exhibit 10.16 filed with registration statement F-1 of the Company (File No.: 333-282394)).</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23">
              <w:r>
                <w:rPr>
                  <w:rStyle w:val="InternetLink"/>
                  <w:rFonts w:ascii="Times New Roman PS Std;serif" w:hAnsi="Times New Roman PS Std;serif"/>
                  <w:b w:val="false"/>
                  <w:i w:val="false"/>
                  <w:caps w:val="false"/>
                  <w:smallCaps w:val="false"/>
                  <w:sz w:val="20"/>
                </w:rPr>
                <w:t>Form Management Employment Agreement (incorporated by reference to Exhibit 10.17 filed with registration statement F-1 of the Company (File No.: 333-282394)).</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10.18***</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24">
              <w:r>
                <w:rPr>
                  <w:rStyle w:val="InternetLink"/>
                  <w:rFonts w:ascii="Times New Roman PS Std;serif" w:hAnsi="Times New Roman PS Std;serif"/>
                  <w:b w:val="false"/>
                  <w:i w:val="false"/>
                  <w:caps w:val="false"/>
                  <w:smallCaps w:val="false"/>
                  <w:sz w:val="20"/>
                </w:rPr>
                <w:t>Ordinary Share Purchase Agreement between Intercont (Cayman) Limited and White Lion Capital LLC, dated August 20, 2025 (incorporated by reference to Exhibit 99.1 filed with form 6-K of the Company dated August 26, 2025).</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10.19***</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25">
              <w:r>
                <w:rPr>
                  <w:rStyle w:val="InternetLink"/>
                  <w:rFonts w:ascii="Times New Roman PS Std;serif" w:hAnsi="Times New Roman PS Std;serif"/>
                  <w:b w:val="false"/>
                  <w:i w:val="false"/>
                  <w:caps w:val="false"/>
                  <w:smallCaps w:val="false"/>
                  <w:sz w:val="20"/>
                </w:rPr>
                <w:t>Registration Rights Agreement between Intercont (Cayman) Limited and White Lion Capital LLC, dated August 20, 2025 (incorporated by reference to Exhibit 99.2 filed with form 6-K of the Company dated August 26, 2025).</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10.20***</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26">
              <w:r>
                <w:rPr>
                  <w:rStyle w:val="InternetLink"/>
                  <w:rFonts w:ascii="Times New Roman PS Std;serif" w:hAnsi="Times New Roman PS Std;serif"/>
                  <w:b w:val="false"/>
                  <w:i w:val="false"/>
                  <w:caps w:val="false"/>
                  <w:smallCaps w:val="false"/>
                  <w:sz w:val="20"/>
                </w:rPr>
                <w:t>Securities Purchase Agreement between Intercont (Cayman) Limited and Streeterville Capital, LLC dated September 4, 2025 (incorporated by reference to Exhibit 99.1 filed with form 6-K of the Company dated September 19, 2025).</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27">
              <w:r>
                <w:rPr>
                  <w:rStyle w:val="InternetLink"/>
                  <w:rFonts w:ascii="Times New Roman PS Std;serif" w:hAnsi="Times New Roman PS Std;serif"/>
                  <w:b w:val="false"/>
                  <w:i w:val="false"/>
                  <w:caps w:val="false"/>
                  <w:smallCaps w:val="false"/>
                  <w:sz w:val="20"/>
                </w:rPr>
                <w:t>Pre-Paid Purchase #1 dated September 4, 2025 (incorporated by reference to Exhibit 99.2 filed with form 6-K of the Company dated September 19, 2025).</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10.22***</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28">
              <w:r>
                <w:rPr>
                  <w:rStyle w:val="InternetLink"/>
                  <w:rFonts w:ascii="Times New Roman PS Std;serif" w:hAnsi="Times New Roman PS Std;serif"/>
                  <w:b w:val="false"/>
                  <w:i w:val="false"/>
                  <w:caps w:val="false"/>
                  <w:smallCaps w:val="false"/>
                  <w:sz w:val="20"/>
                </w:rPr>
                <w:t>Registration Rights Agreement between Intercont (Cayman) Limited and Streeterville Capital, LLC dated September 4, 2025 (incorporated by reference to Exhibit 99.2 filed with form 6-K of the Company dated September 19, 2025).</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29">
              <w:r>
                <w:rPr>
                  <w:rStyle w:val="InternetLink"/>
                  <w:rFonts w:ascii="Times New Roman PS Std;serif" w:hAnsi="Times New Roman PS Std;serif"/>
                  <w:b w:val="false"/>
                  <w:i w:val="false"/>
                  <w:caps w:val="false"/>
                  <w:smallCaps w:val="false"/>
                  <w:sz w:val="20"/>
                </w:rPr>
                <w:t>Public Relations and Investor Relations Service Agreement between Intercont (Cayman) Limited and JA CAPITAL IN NY L.L.C. dated July 10, 2025 (incorporated by reference to Exhibit 1.1 filed with Form 20-F of the Company dated October 30, 2025).</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0">
              <w:r>
                <w:rPr>
                  <w:rStyle w:val="InternetLink"/>
                  <w:rFonts w:ascii="Times New Roman PS Std;serif" w:hAnsi="Times New Roman PS Std;serif"/>
                  <w:b w:val="false"/>
                  <w:i w:val="false"/>
                  <w:caps w:val="false"/>
                  <w:smallCaps w:val="false"/>
                  <w:sz w:val="20"/>
                </w:rPr>
                <w:t>Financial Advisory Services Agreement between Intercont (Cayman) Limited and Atlas Capital Strategies LLC dated July 12, 2025. (incorporated by reference to Exhibit 1.1 filed with Form 20-F of the Company dated October 30, 2025).</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10.25***</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1">
              <w:r>
                <w:rPr>
                  <w:rStyle w:val="InternetLink"/>
                  <w:rFonts w:ascii="Times New Roman PS Std;serif" w:hAnsi="Times New Roman PS Std;serif"/>
                  <w:b w:val="false"/>
                  <w:i w:val="false"/>
                  <w:caps w:val="false"/>
                  <w:smallCaps w:val="false"/>
                  <w:sz w:val="20"/>
                </w:rPr>
                <w:t>Consulting Agreement between Intercont (Cayman) Limited and Atlas Harbor Investment Limited dated September 22, 2025. (incorporated by reference to Exhibit 1.1 filed with Form 20-F of the Company dated October 30, 2025).</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10.26***</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2">
              <w:r>
                <w:rPr>
                  <w:rStyle w:val="InternetLink"/>
                  <w:rFonts w:ascii="Times New Roman PS Std;serif" w:hAnsi="Times New Roman PS Std;serif"/>
                  <w:b w:val="false"/>
                  <w:i w:val="false"/>
                  <w:caps w:val="false"/>
                  <w:smallCaps w:val="false"/>
                  <w:sz w:val="20"/>
                </w:rPr>
                <w:t>Material Contract - Patent Assignment Agreement for Pulping Factory Ship Project (incorporated by reference to Exhibit 99.1 with form 6-K of the Company dated December 22, 2025).</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3">
              <w:r>
                <w:rPr>
                  <w:rStyle w:val="InternetLink"/>
                  <w:rFonts w:ascii="Times New Roman PS Std;serif" w:hAnsi="Times New Roman PS Std;serif"/>
                  <w:b w:val="false"/>
                  <w:i w:val="false"/>
                  <w:caps w:val="false"/>
                  <w:smallCaps w:val="false"/>
                  <w:sz w:val="20"/>
                </w:rPr>
                <w:t>List of subsidiaries of the Registrant (incorporated by reference to Exhibit 21.1 filed with registration statement F-1 of the Company (File No.: 333-282394))</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UHY LLP</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BGA Law (Cayman) Limited (included in Exhibit 5.1)</w:t>
            </w:r>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Consent of Lawrence Chan &amp; Co. (included in Exhibit 8.2)</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w:anchor="T2026">
              <w:r>
                <w:rPr>
                  <w:rStyle w:val="InternetLink"/>
                  <w:rFonts w:ascii="Times New Roman PS Std;serif" w:hAnsi="Times New Roman PS Std;serif"/>
                  <w:b w:val="false"/>
                  <w:i w:val="false"/>
                  <w:caps w:val="false"/>
                  <w:smallCaps w:val="false"/>
                  <w:sz w:val="20"/>
                </w:rPr>
                <w:t xml:space="preserve">Power of Attorney (included on the signature page of this Registration Statement) </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99.1***</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4">
              <w:r>
                <w:rPr>
                  <w:rStyle w:val="InternetLink"/>
                  <w:rFonts w:ascii="Times New Roman PS Std;serif" w:hAnsi="Times New Roman PS Std;serif"/>
                  <w:b w:val="false"/>
                  <w:i w:val="false"/>
                  <w:caps w:val="false"/>
                  <w:smallCaps w:val="false"/>
                  <w:sz w:val="20"/>
                </w:rPr>
                <w:t>Form of Code of Business Conduct and Ethics (incorporated by reference to Exhibit 99.1 filed with registration statement F-1 of the Company (File No.: 333-282394)).</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5">
              <w:r>
                <w:rPr>
                  <w:rStyle w:val="InternetLink"/>
                  <w:rFonts w:ascii="Times New Roman PS Std;serif" w:hAnsi="Times New Roman PS Std;serif"/>
                  <w:b w:val="false"/>
                  <w:i w:val="false"/>
                  <w:caps w:val="false"/>
                  <w:smallCaps w:val="false"/>
                  <w:sz w:val="20"/>
                </w:rPr>
                <w:t>Form of Audit Committee Charter (incorporated by reference to Exhibit 99.3 filed with registration statement F-1 of the Company (File No.: 333-282394)).</w:t>
              </w:r>
            </w:hyperlink>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306"/>
        <w:gridCol w:w="146"/>
        <w:gridCol w:w="8753"/>
      </w:tblGrid>
      <w:tr>
        <w:trPr/>
        <w:tc>
          <w:tcPr>
            <w:tcW w:w="1306" w:type="dxa"/>
            <w:tcBorders/>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Exhibit No.</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Description</w:t>
            </w:r>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99.3***</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6">
              <w:r>
                <w:rPr>
                  <w:rStyle w:val="InternetLink"/>
                  <w:rFonts w:ascii="Times New Roman PS Std;serif" w:hAnsi="Times New Roman PS Std;serif"/>
                  <w:b w:val="false"/>
                  <w:i w:val="false"/>
                  <w:caps w:val="false"/>
                  <w:smallCaps w:val="false"/>
                  <w:sz w:val="20"/>
                </w:rPr>
                <w:t>Form of Compensation Committee Charter (incorporated by reference to Exhibit 99.4 filed with registration statement F-1 of the Company (File No.: 333-282394)).</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99.4***</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7">
              <w:r>
                <w:rPr>
                  <w:rStyle w:val="InternetLink"/>
                  <w:rFonts w:ascii="Times New Roman PS Std;serif" w:hAnsi="Times New Roman PS Std;serif"/>
                  <w:b w:val="false"/>
                  <w:i w:val="false"/>
                  <w:caps w:val="false"/>
                  <w:smallCaps w:val="false"/>
                  <w:sz w:val="20"/>
                </w:rPr>
                <w:t>Form of Nominating and Corporate Governance Committee Charter (incorporated by reference to Exhibit 99.5 filed with registration statement F-1 of the Company (File No.: 333-282394)).</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99.5***</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pPr>
            <w:hyperlink r:id="rId38">
              <w:r>
                <w:rPr>
                  <w:rStyle w:val="InternetLink"/>
                  <w:rFonts w:ascii="Times New Roman PS Std;serif" w:hAnsi="Times New Roman PS Std;serif"/>
                  <w:b w:val="false"/>
                  <w:i w:val="false"/>
                  <w:caps w:val="false"/>
                  <w:smallCaps w:val="false"/>
                  <w:sz w:val="20"/>
                </w:rPr>
                <w:t>Consulting and Cooperation Agreement between Muchun Zhu and Topsheen Shipping Group Limited dated March 1, 2019 (incorporated by reference to Exhibit 99.9 filed with registration statement F-1 of the Company (File No.: 333-282394)).</w:t>
              </w:r>
            </w:hyperlink>
          </w:p>
        </w:tc>
      </w:tr>
      <w:tr>
        <w:trPr/>
        <w:tc>
          <w:tcPr>
            <w:tcW w:w="1306"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w:t>
            </w:r>
          </w:p>
        </w:tc>
        <w:tc>
          <w:tcPr>
            <w:tcW w:w="146" w:type="dxa"/>
            <w:tcBorders/>
          </w:tcPr>
          <w:p>
            <w:pPr>
              <w:pStyle w:val="TableContents"/>
              <w:bidi w:val="0"/>
              <w:spacing w:before="0" w:after="283"/>
              <w:jc w:val="left"/>
              <w:rPr/>
            </w:pPr>
            <w:r>
              <w:rPr/>
              <w:t> </w:t>
            </w:r>
          </w:p>
        </w:tc>
        <w:tc>
          <w:tcPr>
            <w:tcW w:w="8753" w:type="dxa"/>
            <w:tcBorders/>
          </w:tcPr>
          <w:p>
            <w:pPr>
              <w:pStyle w:val="TableContents"/>
              <w:keepNext w:val="false"/>
              <w:widowControl/>
              <w:pBdr/>
              <w:bidi w:val="0"/>
              <w:spacing w:before="0" w:after="283"/>
              <w:jc w:val="both"/>
              <w:rPr/>
            </w:pPr>
            <w:hyperlink r:id="rId39">
              <w:r>
                <w:rPr>
                  <w:rStyle w:val="InternetLink"/>
                  <w:rFonts w:ascii="Times New Roman PS Std;serif" w:hAnsi="Times New Roman PS Std;serif"/>
                  <w:b w:val="false"/>
                  <w:i w:val="false"/>
                  <w:caps w:val="false"/>
                  <w:smallCaps w:val="false"/>
                  <w:sz w:val="20"/>
                </w:rPr>
                <w:t>Resignation Letter from Muchun Zhu to Topsheen Shipping Group Limited dated February 1, 2020 (incorporated by reference to Exhibit 99.10 filed with registration statement F-1 of the Company (File No.: 333-282394)).</w:t>
              </w:r>
            </w:hyperlink>
          </w:p>
        </w:tc>
      </w:tr>
      <w:tr>
        <w:trPr/>
        <w:tc>
          <w:tcPr>
            <w:tcW w:w="1306"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tcPr>
          <w:p>
            <w:pPr>
              <w:pStyle w:val="TableContents"/>
              <w:bidi w:val="0"/>
              <w:spacing w:before="0" w:after="283"/>
              <w:jc w:val="left"/>
              <w:rPr/>
            </w:pPr>
            <w:r>
              <w:rPr/>
              <w:t> </w:t>
            </w:r>
          </w:p>
        </w:tc>
        <w:tc>
          <w:tcPr>
            <w:tcW w:w="8753" w:type="dxa"/>
            <w:tcBorders/>
            <w:shd w:fill="CCEEFF" w:val="clear"/>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Form of Filing Fee Table</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To be filed by amendment.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Previously filed.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7" w:name="T2026"/>
      <w:bookmarkEnd w:id="37"/>
      <w:r>
        <w:rPr>
          <w:rFonts w:ascii="Times New Roman PS Std;serif" w:hAnsi="Times New Roman PS Std;serif"/>
          <w:b/>
          <w:i w:val="false"/>
          <w:caps w:val="false"/>
          <w:smallCaps w:val="false"/>
          <w:sz w:val="20"/>
        </w:rPr>
        <w:t xml:space="preserve">SIGNATURES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Singapore, on            , 2026.</w:t>
      </w:r>
    </w:p>
    <w:tbl>
      <w:tblPr>
        <w:tblW w:w="5015" w:type="dxa"/>
        <w:jc w:val="left"/>
        <w:tblInd w:w="0" w:type="dxa"/>
        <w:tblLayout w:type="fixed"/>
        <w:tblCellMar>
          <w:top w:w="0" w:type="dxa"/>
          <w:left w:w="0" w:type="dxa"/>
          <w:bottom w:w="0" w:type="dxa"/>
          <w:right w:w="0" w:type="dxa"/>
        </w:tblCellMar>
      </w:tblPr>
      <w:tblGrid>
        <w:gridCol w:w="161"/>
        <w:gridCol w:w="146"/>
        <w:gridCol w:w="751"/>
        <w:gridCol w:w="146"/>
        <w:gridCol w:w="381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708" w:type="dxa"/>
            <w:gridSpan w:val="3"/>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Intercont (Cayman) Limited</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vAlign w:val="bottom"/>
          </w:tcPr>
          <w:p>
            <w:pPr>
              <w:pStyle w:val="TableContents"/>
              <w:bidi w:val="0"/>
              <w:spacing w:before="0" w:after="283"/>
              <w:jc w:val="left"/>
              <w:rPr/>
            </w:pPr>
            <w:r>
              <w:rPr/>
              <w:t> </w:t>
            </w:r>
          </w:p>
        </w:tc>
        <w:tc>
          <w:tcPr>
            <w:tcW w:w="3811"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146" w:type="dxa"/>
            <w:tcBorders/>
            <w:vAlign w:val="bottom"/>
          </w:tcPr>
          <w:p>
            <w:pPr>
              <w:pStyle w:val="TableContents"/>
              <w:bidi w:val="0"/>
              <w:spacing w:before="0" w:after="283"/>
              <w:jc w:val="left"/>
              <w:rPr/>
            </w:pPr>
            <w:r>
              <w:rPr/>
              <w:t> </w:t>
            </w:r>
          </w:p>
        </w:tc>
        <w:tc>
          <w:tcPr>
            <w:tcW w:w="381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Muchun Zhu</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146" w:type="dxa"/>
            <w:tcBorders/>
            <w:vAlign w:val="bottom"/>
          </w:tcPr>
          <w:p>
            <w:pPr>
              <w:pStyle w:val="TableContents"/>
              <w:bidi w:val="0"/>
              <w:spacing w:before="0" w:after="283"/>
              <w:jc w:val="left"/>
              <w:rPr/>
            </w:pPr>
            <w:r>
              <w:rPr/>
              <w:t> </w:t>
            </w:r>
          </w:p>
        </w:tc>
        <w:tc>
          <w:tcPr>
            <w:tcW w:w="381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and Chief Executive Officer</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POWER OF ATTORNEY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KNOW ALL MEN BY THESE PRESENTS, that each person whose signature appears below constitutes and appoints Muchun Zhu his or her true and lawful attorney-in-fact,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hereby ratifying and confirming all that said attorney-in-fact or his substitute, each acting alone, may lawfully do or cause to be done by virtue thereof.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the Securities Act, this Registration Statement has been signed by the following persons in the capacities and on the dates indicated.</w:t>
      </w:r>
    </w:p>
    <w:tbl>
      <w:tblPr>
        <w:tblW w:w="8155" w:type="dxa"/>
        <w:jc w:val="left"/>
        <w:tblInd w:w="0" w:type="dxa"/>
        <w:tblLayout w:type="fixed"/>
        <w:tblCellMar>
          <w:top w:w="0" w:type="dxa"/>
          <w:left w:w="0" w:type="dxa"/>
          <w:bottom w:w="0" w:type="dxa"/>
          <w:right w:w="0" w:type="dxa"/>
        </w:tblCellMar>
      </w:tblPr>
      <w:tblGrid>
        <w:gridCol w:w="2371"/>
        <w:gridCol w:w="146"/>
        <w:gridCol w:w="4201"/>
        <w:gridCol w:w="146"/>
        <w:gridCol w:w="1291"/>
      </w:tblGrid>
      <w:tr>
        <w:trPr/>
        <w:tc>
          <w:tcPr>
            <w:tcW w:w="23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Signature</w:t>
            </w:r>
          </w:p>
        </w:tc>
        <w:tc>
          <w:tcPr>
            <w:tcW w:w="146" w:type="dxa"/>
            <w:tcBorders/>
            <w:vAlign w:val="bottom"/>
          </w:tcPr>
          <w:p>
            <w:pPr>
              <w:pStyle w:val="TableContents"/>
              <w:bidi w:val="0"/>
              <w:spacing w:before="0" w:after="283"/>
              <w:jc w:val="left"/>
              <w:rPr/>
            </w:pPr>
            <w:r>
              <w:rPr/>
              <w:t> </w:t>
            </w:r>
          </w:p>
        </w:tc>
        <w:tc>
          <w:tcPr>
            <w:tcW w:w="42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w:t>
            </w:r>
          </w:p>
        </w:tc>
      </w:tr>
      <w:tr>
        <w:trPr/>
        <w:tc>
          <w:tcPr>
            <w:tcW w:w="2371"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0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and Chief Executive Officer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16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 2026</w:t>
            </w:r>
          </w:p>
        </w:tc>
      </w:tr>
      <w:tr>
        <w:trPr/>
        <w:tc>
          <w:tcPr>
            <w:tcW w:w="23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Muchun Zhu</w:t>
            </w:r>
          </w:p>
        </w:tc>
        <w:tc>
          <w:tcPr>
            <w:tcW w:w="146" w:type="dxa"/>
            <w:tcBorders/>
            <w:vAlign w:val="bottom"/>
          </w:tcPr>
          <w:p>
            <w:pPr>
              <w:pStyle w:val="TableContents"/>
              <w:bidi w:val="0"/>
              <w:spacing w:before="0" w:after="283"/>
              <w:jc w:val="left"/>
              <w:rPr/>
            </w:pPr>
            <w:r>
              <w:rPr/>
              <w:t> </w:t>
            </w:r>
          </w:p>
        </w:tc>
        <w:tc>
          <w:tcPr>
            <w:tcW w:w="420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executive officer)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2371"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01" w:type="dxa"/>
            <w:tcBorders/>
            <w:vAlign w:val="bottom"/>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 Director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16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 2026</w:t>
            </w:r>
          </w:p>
        </w:tc>
      </w:tr>
      <w:tr>
        <w:trPr/>
        <w:tc>
          <w:tcPr>
            <w:tcW w:w="23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 Qingyuan Wang</w:t>
            </w:r>
          </w:p>
        </w:tc>
        <w:tc>
          <w:tcPr>
            <w:tcW w:w="146" w:type="dxa"/>
            <w:tcBorders/>
            <w:vAlign w:val="bottom"/>
          </w:tcPr>
          <w:p>
            <w:pPr>
              <w:pStyle w:val="TableContents"/>
              <w:bidi w:val="0"/>
              <w:spacing w:before="0" w:after="283"/>
              <w:jc w:val="left"/>
              <w:rPr/>
            </w:pPr>
            <w:r>
              <w:rPr/>
              <w:t> </w:t>
            </w:r>
          </w:p>
        </w:tc>
        <w:tc>
          <w:tcPr>
            <w:tcW w:w="420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financial and accounting officer)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2371"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16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 2026</w:t>
            </w:r>
          </w:p>
        </w:tc>
      </w:tr>
      <w:tr>
        <w:trPr/>
        <w:tc>
          <w:tcPr>
            <w:tcW w:w="23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Schumann</w:t>
            </w:r>
          </w:p>
        </w:tc>
        <w:tc>
          <w:tcPr>
            <w:tcW w:w="146" w:type="dxa"/>
            <w:tcBorders/>
            <w:vAlign w:val="bottom"/>
          </w:tcPr>
          <w:p>
            <w:pPr>
              <w:pStyle w:val="TableContents"/>
              <w:bidi w:val="0"/>
              <w:spacing w:before="0" w:after="283"/>
              <w:jc w:val="left"/>
              <w:rPr/>
            </w:pPr>
            <w:r>
              <w:rPr/>
              <w:t> </w:t>
            </w:r>
          </w:p>
        </w:tc>
        <w:tc>
          <w:tcPr>
            <w:tcW w:w="420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2371"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16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 2026</w:t>
            </w:r>
          </w:p>
        </w:tc>
      </w:tr>
      <w:tr>
        <w:trPr/>
        <w:tc>
          <w:tcPr>
            <w:tcW w:w="23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Dahong Li</w:t>
            </w:r>
          </w:p>
        </w:tc>
        <w:tc>
          <w:tcPr>
            <w:tcW w:w="146" w:type="dxa"/>
            <w:tcBorders/>
            <w:vAlign w:val="bottom"/>
          </w:tcPr>
          <w:p>
            <w:pPr>
              <w:pStyle w:val="TableContents"/>
              <w:bidi w:val="0"/>
              <w:spacing w:before="0" w:after="283"/>
              <w:jc w:val="left"/>
              <w:rPr/>
            </w:pPr>
            <w:r>
              <w:rPr/>
              <w:t> </w:t>
            </w:r>
          </w:p>
        </w:tc>
        <w:tc>
          <w:tcPr>
            <w:tcW w:w="420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2371" w:type="dxa"/>
            <w:tcBorders/>
            <w:vAlign w:val="bottom"/>
          </w:tcPr>
          <w:p>
            <w:pPr>
              <w:pStyle w:val="TableContents"/>
              <w:keepNext w:val="false"/>
              <w:widowControl/>
              <w:pBdr/>
              <w:bidi w:val="0"/>
              <w:spacing w:before="160" w:after="283"/>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20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160" w:after="283"/>
              <w:jc w:val="center"/>
              <w:rPr>
                <w:caps w:val="false"/>
                <w:smallCaps w:val="false"/>
              </w:rPr>
            </w:pPr>
            <w:r>
              <w:rPr>
                <w:caps w:val="false"/>
                <w:smallCaps w:val="false"/>
              </w:rPr>
              <w:t>         </w:t>
            </w:r>
            <w:r>
              <w:rPr>
                <w:rFonts w:ascii="Times New Roman PS Std;serif" w:hAnsi="Times New Roman PS Std;serif"/>
                <w:b w:val="false"/>
                <w:i w:val="false"/>
                <w:caps w:val="false"/>
                <w:smallCaps w:val="false"/>
                <w:sz w:val="20"/>
              </w:rPr>
              <w:t>, 2026</w:t>
            </w:r>
          </w:p>
        </w:tc>
      </w:tr>
      <w:tr>
        <w:trPr/>
        <w:tc>
          <w:tcPr>
            <w:tcW w:w="237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Yuanmei Ma</w:t>
            </w:r>
          </w:p>
        </w:tc>
        <w:tc>
          <w:tcPr>
            <w:tcW w:w="146" w:type="dxa"/>
            <w:tcBorders/>
            <w:vAlign w:val="bottom"/>
          </w:tcPr>
          <w:p>
            <w:pPr>
              <w:pStyle w:val="TableContents"/>
              <w:bidi w:val="0"/>
              <w:spacing w:before="0" w:after="283"/>
              <w:jc w:val="left"/>
              <w:rPr/>
            </w:pPr>
            <w:r>
              <w:rPr/>
              <w:t> </w:t>
            </w:r>
          </w:p>
        </w:tc>
        <w:tc>
          <w:tcPr>
            <w:tcW w:w="4201" w:type="dxa"/>
            <w:tcBorders/>
            <w:vAlign w:val="bottom"/>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SIGNATURE OF AUTHORIZED REPRESENTATIVE IN THE UNITED STATES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Securities Act of 1933, the undersigned, the duly authorized representative in the United States of Intercont (Cayman) Limited, has signed this Registration Statement or amendment thereto in New York on            , 2026.</w:t>
      </w:r>
    </w:p>
    <w:tbl>
      <w:tblPr>
        <w:tblW w:w="3502" w:type="dxa"/>
        <w:jc w:val="left"/>
        <w:tblInd w:w="0" w:type="dxa"/>
        <w:tblLayout w:type="fixed"/>
        <w:tblCellMar>
          <w:top w:w="0" w:type="dxa"/>
          <w:left w:w="0" w:type="dxa"/>
          <w:bottom w:w="0" w:type="dxa"/>
          <w:right w:w="0" w:type="dxa"/>
        </w:tblCellMar>
      </w:tblPr>
      <w:tblGrid>
        <w:gridCol w:w="161"/>
        <w:gridCol w:w="146"/>
        <w:gridCol w:w="2148"/>
        <w:gridCol w:w="453"/>
        <w:gridCol w:w="594"/>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3195" w:type="dxa"/>
            <w:gridSpan w:val="3"/>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Authorized U.S. Representative</w:t>
              <w:br/>
              <w:t>Cogency Global Inc.</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14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453" w:type="dxa"/>
            <w:tcBorders/>
          </w:tcPr>
          <w:p>
            <w:pPr>
              <w:pStyle w:val="TableContents"/>
              <w:bidi w:val="0"/>
              <w:spacing w:before="0" w:after="283"/>
              <w:jc w:val="left"/>
              <w:rPr/>
            </w:pPr>
            <w:r>
              <w:rPr/>
              <w:t> </w:t>
            </w:r>
          </w:p>
        </w:tc>
        <w:tc>
          <w:tcPr>
            <w:tcW w:w="594" w:type="dxa"/>
            <w:tcBorders/>
          </w:tcPr>
          <w:p>
            <w:pPr>
              <w:pStyle w:val="TableContents"/>
              <w:keepNext w:val="false"/>
              <w:widowControl/>
              <w:pBdr/>
              <w:bidi w:val="0"/>
              <w:spacing w:before="160" w:after="283"/>
              <w:jc w:val="left"/>
              <w:rPr>
                <w:caps w:val="false"/>
                <w:smallCaps w:val="false"/>
              </w:rPr>
            </w:pPr>
            <w:r>
              <w:rPr>
                <w:caps w:val="false"/>
                <w:smallCaps w:val="false"/>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14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Name:</w:t>
            </w:r>
          </w:p>
        </w:tc>
        <w:tc>
          <w:tcPr>
            <w:tcW w:w="453" w:type="dxa"/>
            <w:tcBorders/>
          </w:tcPr>
          <w:p>
            <w:pPr>
              <w:pStyle w:val="TableContents"/>
              <w:bidi w:val="0"/>
              <w:spacing w:before="0" w:after="283"/>
              <w:jc w:val="left"/>
              <w:rPr/>
            </w:pPr>
            <w:r>
              <w:rPr/>
              <w:t> </w:t>
            </w:r>
          </w:p>
        </w:tc>
        <w:tc>
          <w:tcPr>
            <w:tcW w:w="594" w:type="dxa"/>
            <w:tcBorders/>
          </w:tcPr>
          <w:p>
            <w:pPr>
              <w:pStyle w:val="TableContents"/>
              <w:bidi w:val="0"/>
              <w:spacing w:before="0" w:after="283"/>
              <w:jc w:val="left"/>
              <w:rPr/>
            </w:pPr>
            <w:r>
              <w:rPr/>
              <w:t> </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14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Title:</w:t>
            </w:r>
          </w:p>
        </w:tc>
        <w:tc>
          <w:tcPr>
            <w:tcW w:w="453" w:type="dxa"/>
            <w:tcBorders/>
          </w:tcPr>
          <w:p>
            <w:pPr>
              <w:pStyle w:val="TableContents"/>
              <w:bidi w:val="0"/>
              <w:spacing w:before="0" w:after="283"/>
              <w:jc w:val="left"/>
              <w:rPr/>
            </w:pPr>
            <w:r>
              <w:rPr/>
              <w:t> </w:t>
            </w:r>
          </w:p>
        </w:tc>
        <w:tc>
          <w:tcPr>
            <w:tcW w:w="594" w:type="dxa"/>
            <w:tcBorders/>
          </w:tcPr>
          <w:p>
            <w:pPr>
              <w:pStyle w:val="TableContents"/>
              <w:bidi w:val="0"/>
              <w:spacing w:before="0" w:after="283"/>
              <w:jc w:val="left"/>
              <w:rPr/>
            </w:pPr>
            <w:r>
              <w:rPr/>
              <w:t> </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II-9</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hyperlink" Target="http://www.sec.gov/Archives/edgar/data/2018529/000121390026007729/ea027401001ex99-1_intercont.htm" TargetMode="External"/><Relationship Id="rId7" Type="http://schemas.openxmlformats.org/officeDocument/2006/relationships/hyperlink" Target="http://www.sec.gov/Archives/edgar/data/2018529/000121390024082814/ea020196705ex10-1_intercont.htm" TargetMode="External"/><Relationship Id="rId8" Type="http://schemas.openxmlformats.org/officeDocument/2006/relationships/hyperlink" Target="http://www.sec.gov/Archives/edgar/data/2018529/000121390024082814/ea020196705ex10-2_intercont.htm" TargetMode="External"/><Relationship Id="rId9" Type="http://schemas.openxmlformats.org/officeDocument/2006/relationships/hyperlink" Target="http://www.sec.gov/Archives/edgar/data/2018529/000121390024082814/ea020196705ex10-3_intercont.htm" TargetMode="External"/><Relationship Id="rId10" Type="http://schemas.openxmlformats.org/officeDocument/2006/relationships/hyperlink" Target="http://www.sec.gov/Archives/edgar/data/2018529/000121390024082814/ea020196705ex10-4_intercont.htm" TargetMode="External"/><Relationship Id="rId11" Type="http://schemas.openxmlformats.org/officeDocument/2006/relationships/hyperlink" Target="http://www.sec.gov/Archives/edgar/data/2018529/000121390024082814/ea020196705ex10-5_intercont.htm" TargetMode="External"/><Relationship Id="rId12" Type="http://schemas.openxmlformats.org/officeDocument/2006/relationships/hyperlink" Target="http://www.sec.gov/Archives/edgar/data/2018529/000121390024082814/ea020196705ex10-6_intercont.htm" TargetMode="External"/><Relationship Id="rId13" Type="http://schemas.openxmlformats.org/officeDocument/2006/relationships/hyperlink" Target="http://www.sec.gov/Archives/edgar/data/2018529/000121390024082814/ea020196705ex10-7_intercont.htm" TargetMode="External"/><Relationship Id="rId14" Type="http://schemas.openxmlformats.org/officeDocument/2006/relationships/hyperlink" Target="http://www.sec.gov/Archives/edgar/data/2018529/000121390024082814/ea020196705ex10-8_intercont.htm" TargetMode="External"/><Relationship Id="rId15" Type="http://schemas.openxmlformats.org/officeDocument/2006/relationships/hyperlink" Target="http://www.sec.gov/Archives/edgar/data/2018529/000121390024082814/ea020196705ex10-9_intercont.htm" TargetMode="External"/><Relationship Id="rId16" Type="http://schemas.openxmlformats.org/officeDocument/2006/relationships/hyperlink" Target="http://www.sec.gov/Archives/edgar/data/2018529/000121390024082814/ea020196705ex10-10_intercont.htm" TargetMode="External"/><Relationship Id="rId17" Type="http://schemas.openxmlformats.org/officeDocument/2006/relationships/hyperlink" Target="http://www.sec.gov/Archives/edgar/data/2018529/000121390024082814/ea020196705ex10-11_intercont.htm" TargetMode="External"/><Relationship Id="rId18" Type="http://schemas.openxmlformats.org/officeDocument/2006/relationships/hyperlink" Target="http://www.sec.gov/Archives/edgar/data/2018529/000121390024089352/ea020196707ex10-12_intercont.htm" TargetMode="External"/><Relationship Id="rId19" Type="http://schemas.openxmlformats.org/officeDocument/2006/relationships/hyperlink" Target="http://www.sec.gov/Archives/edgar/data/2018529/000121390024098931/ea020196709ex10-13_intercont.htm" TargetMode="External"/><Relationship Id="rId20" Type="http://schemas.openxmlformats.org/officeDocument/2006/relationships/hyperlink" Target="http://www.sec.gov/Archives/edgar/data/2018529/000121390024098931/ea020196709ex10-14_intercont.htm" TargetMode="External"/><Relationship Id="rId21" Type="http://schemas.openxmlformats.org/officeDocument/2006/relationships/hyperlink" Target="http://www.sec.gov/Archives/edgar/data/2018529/000121390024098931/ea020196709ex10-15_intercont.htm" TargetMode="External"/><Relationship Id="rId22" Type="http://schemas.openxmlformats.org/officeDocument/2006/relationships/hyperlink" Target="http://www.sec.gov/Archives/edgar/data/2018529/000121390024105533/ea020196711ex10-16_intercont.htm" TargetMode="External"/><Relationship Id="rId23" Type="http://schemas.openxmlformats.org/officeDocument/2006/relationships/hyperlink" Target="http://www.sec.gov/Archives/edgar/data/2018529/000121390024105533/ea020196711ex10-17_intercont.htm" TargetMode="External"/><Relationship Id="rId24" Type="http://schemas.openxmlformats.org/officeDocument/2006/relationships/hyperlink" Target="http://www.sec.gov/Archives/edgar/data/2018529/000121390025080591/ea025428901ex99-1_intercont.htm" TargetMode="External"/><Relationship Id="rId25" Type="http://schemas.openxmlformats.org/officeDocument/2006/relationships/hyperlink" Target="http://www.sec.gov/Archives/edgar/data/2018529/000121390025080591/ea025428901ex99-2_intercont.htm" TargetMode="External"/><Relationship Id="rId26" Type="http://schemas.openxmlformats.org/officeDocument/2006/relationships/hyperlink" Target="http://www.sec.gov/Archives/edgar/data/2018529/000121390025089564/ea025691301ex99-1_intercont.htm" TargetMode="External"/><Relationship Id="rId27" Type="http://schemas.openxmlformats.org/officeDocument/2006/relationships/hyperlink" Target="http://www.sec.gov/Archives/edgar/data/2018529/000121390025089564/ea025691301ex99-2_intercont.htm" TargetMode="External"/><Relationship Id="rId28" Type="http://schemas.openxmlformats.org/officeDocument/2006/relationships/hyperlink" Target="http://www.sec.gov/Archives/edgar/data/2018529/000121390025089564/ea025691301ex99-3_intercont.htm" TargetMode="External"/><Relationship Id="rId29" Type="http://schemas.openxmlformats.org/officeDocument/2006/relationships/hyperlink" Target="http://www.sec.gov/Archives/edgar/data/2018529/000121390025104020/ea026175301ex4-21_inter.htm" TargetMode="External"/><Relationship Id="rId30" Type="http://schemas.openxmlformats.org/officeDocument/2006/relationships/hyperlink" Target="http://www.sec.gov/Archives/edgar/data/2018529/000121390025104020/ea026175301ex4-22_inter.htm" TargetMode="External"/><Relationship Id="rId31" Type="http://schemas.openxmlformats.org/officeDocument/2006/relationships/hyperlink" Target="http://www.sec.gov/Archives/edgar/data/2018529/000121390025104020/ea026175301ex4-23_inter.htm" TargetMode="External"/><Relationship Id="rId32" Type="http://schemas.openxmlformats.org/officeDocument/2006/relationships/hyperlink" Target="http://www.sec.gov/Archives/edgar/data/2018529/000121390025124176/ea027038401ex99-1_intercont.htm" TargetMode="External"/><Relationship Id="rId33" Type="http://schemas.openxmlformats.org/officeDocument/2006/relationships/hyperlink" Target="http://www.sec.gov/Archives/edgar/data/2018529/000121390024082814/ea020196705ex21-1_intercont.htm" TargetMode="External"/><Relationship Id="rId34" Type="http://schemas.openxmlformats.org/officeDocument/2006/relationships/hyperlink" Target="http://www.sec.gov/Archives/edgar/data/2018529/000121390024082814/ea020196705ex99-1_intercont.htm" TargetMode="External"/><Relationship Id="rId35" Type="http://schemas.openxmlformats.org/officeDocument/2006/relationships/hyperlink" Target="http://www.sec.gov/Archives/edgar/data/2018529/000121390024082814/ea020196705ex99-3_intercont.htm" TargetMode="External"/><Relationship Id="rId36" Type="http://schemas.openxmlformats.org/officeDocument/2006/relationships/hyperlink" Target="http://www.sec.gov/Archives/edgar/data/2018529/000121390024082814/ea020196705ex99-4_intercont.htm" TargetMode="External"/><Relationship Id="rId37" Type="http://schemas.openxmlformats.org/officeDocument/2006/relationships/hyperlink" Target="http://www.sec.gov/Archives/edgar/data/2018529/000121390024082814/ea020196705ex99-5_intercont.htm" TargetMode="External"/><Relationship Id="rId38" Type="http://schemas.openxmlformats.org/officeDocument/2006/relationships/hyperlink" Target="http://www.sec.gov/Archives/edgar/data/2018529/000121390024082814/ea020196705ex99-9_intercont.htm" TargetMode="External"/><Relationship Id="rId39" Type="http://schemas.openxmlformats.org/officeDocument/2006/relationships/hyperlink" Target="http://www.sec.gov/Archives/edgar/data/2018529/000121390024082814/ea020196705ex99-10_intercont.htm"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203</Pages>
  <Words>119694</Words>
  <Characters>652773</Characters>
  <CharactersWithSpaces>774904</CharactersWithSpaces>
  <Paragraphs>12570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