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818" w:type="dxa"/>
        <w:jc w:val="left"/>
        <w:tblInd w:w="0" w:type="dxa"/>
        <w:tblLayout w:type="fixed"/>
        <w:tblCellMar>
          <w:top w:w="0" w:type="dxa"/>
          <w:left w:w="0" w:type="dxa"/>
          <w:bottom w:w="0" w:type="dxa"/>
          <w:right w:w="0" w:type="dxa"/>
        </w:tblCellMar>
      </w:tblPr>
      <w:tblGrid>
        <w:gridCol w:w="1591"/>
        <w:gridCol w:w="146"/>
        <w:gridCol w:w="4081"/>
      </w:tblGrid>
      <w:tr>
        <w:trPr/>
        <w:tc>
          <w:tcPr>
            <w:tcW w:w="159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c>
        <w:tc>
          <w:tcPr>
            <w:tcW w:w="146" w:type="dxa"/>
            <w:tcBorders/>
          </w:tcPr>
          <w:p>
            <w:pPr>
              <w:pStyle w:val="TableContents"/>
              <w:bidi w:val="0"/>
              <w:spacing w:before="0" w:after="283"/>
              <w:jc w:val="left"/>
              <w:rPr/>
            </w:pPr>
            <w:r>
              <w:rPr/>
              <w:t> </w:t>
            </w:r>
          </w:p>
        </w:tc>
        <w:tc>
          <w:tcPr>
            <w:tcW w:w="4081" w:type="dxa"/>
            <w:tcBorders/>
          </w:tcPr>
          <w:p>
            <w:pPr>
              <w:pStyle w:val="TableContents"/>
              <w:keepNext w:val="false"/>
              <w:widowControl/>
              <w:pBdr/>
              <w:bidi w:val="0"/>
              <w:spacing w:before="0" w:after="283"/>
              <w:jc w:val="righ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Filed pursuant to Rule 424(b)(4)</w:t>
              <w:br/>
              <w:t>Registration Statement 333-296585</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Units, each consisting of one Class A Ordinary Share and one Warrant to purchase one Class A Ordinary Share</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Class A Ordinary Shares included in the Units</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Warrants to Purchase Class A Ordinary Shares</w:t>
      </w:r>
    </w:p>
    <w:p>
      <w:pPr>
        <w:pStyle w:val="TextBody"/>
        <w:keepNext w:val="false"/>
        <w:pageBreakBefore w:val="false"/>
        <w:widowControl/>
        <w:pBdr/>
        <w:bidi w:val="0"/>
        <w:spacing w:before="12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16,000,000 Class A Ordinary Shares Issuable upon Exercise of the Warrants to Purchase Class A Ordinary Shares at a Zero Exercise Price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1409700" cy="5695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56959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Intercont (Cayman) Limited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(Cayman) Ltd. (the “Company,” “we” or “us”) is offering on a best-efforts basis up to 8,000,000 units (the “Units”), each consisting of one Class A Ordinary Share, par value $0.0025 per share (the “Class A Ordinary Shares”), and one warrant to purchase one Class A Ordinary Share (each, a “Warrant”). We are offering the Units at the assumed initial public offering price of $0.79 per Unit (the “Offering”). We are also registering up to 16,000,000 Class A Ordinary Shares underlying the Warrants. Each of the Warrants will have an exercise price of $0.869 per Class A Ordinary Share and will be exercisable beginning on the date of the issuance date and ending on the six months of the issuance date. Our Class A Ordinary Shares are listed on The Nasdaq Capital Market under the symbol “NCT.” The last reported sale price of our Class A Ordinary Shares on The Nasdaq Capital Market on July 6, 2026 was $2.87 per Class A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public offering price for the securities in this offering is at a significant discount to the current market price. The final public offering price will be determined at the time of pricing, through negotiations between us, the Placement Agent, and the investors based upon a number of factors, including our history and our prospects, stage of development of our business, our business plans for the future and the extent to which they have been implemented, an assessment of our management, the industry in which we operate, our past and present operating results, the previous experience of our executive officers and the general condition of the securities markets at the time of this offering.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exercise price of $0.869 for each of the Warrants was determined at 110% of the assumed public offering price of $0.79 per Unit. The exercise price may be subject to adjustments as described in the Warrant. Such adjustments occur in the following circumstances: (i) if the Company effects any share splits, combinations, reclassifications, or share dividends, the exercise price may be adjusted proportionately; and (ii) in the event of certain corporate transactions such as mergers or reorganizations, the exercise price may be adjusted to reflect the consideration received by holders of Class A Ordinary Shares in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Units have no stand-alone rights and will not be certificated or issued as stand-alone securities. The Class A Ordinary Shares can each be purchased in this offering only with the accompanying Warrants as part of the Units, but the component parts of the Units will be immediately separable and issued separately in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and only if at the time of any exercise of the Warrant, there is no effective registration statement registering, or the prospectus contained therein is not available for the issuance of the Class A Ordinary Shares underlying the Warrants to the holder, in lieu of making the cash payment otherwise contemplated to be made to us upon such exercise in payment of the aggregate exercise price, the holder may elect instead to receive upon such exercise (either in whole or in part) the number of Class A Ordinary Shares equal to the quotient obtained by dividing [(A-B) (X)] by (A), where (A) = trading price formulas determined under the Warrants; (B) = the exercise price of the Warrants; and (X) = the number of warrant shares that would be issuable upon exercise of such Warrants by means of a cash exercise rather than a cashless exercise. Subject to customary adjustments for share dividends, splits or other changes in share capital, the maximum number of Class A Ordinary Shares issuable upon cashless exercise of the Warrants is 8,000,000.</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the Warrants may also effect an exercise at a zero exercise price (the “zero exercise price option”) at any time while the Warrants are outstanding. Two (2) Class A Ordinary Shares are issuable under each Warrant in such zero exercise price option pursuant to any given notice of exercise electing to effect a zero exercise price option. The Warrants included in this Offering entitle the holders to receive, via the zero exercise price option, up to 16,000,000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Warrants do provide for an initial exercise price of $0.869 per Class A Ordinary Share as well as the ability to exercise the Warrants on a cashless exercise basis, it is anticipated that all Warrant holders will utilize the zero exercise price option as this allows for the exercise of the Warrants for no additional consideration and will result in a greater number of Class A Ordinary Shares that investors will receive under upon exercise than what would be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Ordinary Shares are listed on The Nasdaq Capital Market under the symbol “NCT.” The last reported sale price of our Class A Ordinary Shares on The Nasdaq Capital Market on July 6, 2026 was $2.87 per Class A Ordinary Share. There is no established public trading market for the Warrants, and we do not intend to list the Warrants on any national securities exchange or trading system. Without a trading market, the liquidity of the Warrants will be limited. We are also registering the Class A Ordinary Shares issuable upon exercise of the Warrants and anticipate that such Class A Ordinary Shares will trade on The Nasdaq Capital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Prime Number Capital, LLC to act as our exclusive placement agent in connection with this offering (the “placement agent”). The placement agent has agreed to use its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There is no arrangement for funds to be received in escrow, trust or similar arrangement.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on page 21 of this prospectus. We will bear all costs associated with the offering. See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on page 129 of this prospectus for more information regarding these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have one closing for all the securities purchased in this offering. The offering will terminate upon the completion of a single closing, which is expected to occur on or about June 26, 2026. The public offering price per Unit (consisting of one Class A Ordinary Share and one Warrant) will be fixed for the duration of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established an escrow account in conjunction with this offering. Because there is no escrow account and no minimum number of securities or amount of proceeds, investors could be in a position where they have invested in us, but we have not raised sufficient proceeds in this offering to adequately fund the intended uses of the proceeds as described in this prospectus. Also, any proceeds from the sale of securities offered by us will be available for our immediate use, despite uncertainty about whether we would be able to use such funds to effectively implement our business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See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21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Islands holding company with no substantive operations. As used in this prospectus, “we,” “us,” the “Group,” “our company,” and “our,” refer to Intercont (Cayman) Limited, together as a group with its subsidiaries. Intercont carries out its business primarily through its subsidiaries located in Asia. Investors in Intercont’s Class A Ordinary Shares should be aware that they will not directly hold equity interests in the operating subsidiaries, but will solely hold equity interests in Intercont, the Cayman holding company. This structure involves unique risks to the investors. If the structure changes or becomes disallowed by regulatory authorities, Intercont’s operations could be materially and adversely affected, causing significant decline in the price of Intercont’s Class A Ordinary Shares or rendering them worthless. For further information, see “</w:t>
      </w:r>
      <w:r>
        <w:rPr>
          <w:rFonts w:ascii="Times New Roman PS Std;serif" w:hAnsi="Times New Roman PS Std;serif"/>
          <w:b w:val="false"/>
          <w:i/>
          <w:caps w:val="false"/>
          <w:smallCaps w:val="false"/>
          <w:sz w:val="20"/>
        </w:rPr>
        <w:t>Risk Factors — Risks Related to Our Corporate Structure</w:t>
      </w:r>
      <w:r>
        <w:rPr>
          <w:rFonts w:ascii="Times New Roman PS Std;serif" w:hAnsi="Times New Roman PS Std;serif"/>
          <w:b w:val="false"/>
          <w:i w:val="false"/>
          <w:caps w:val="false"/>
          <w:smallCaps w:val="false"/>
          <w:sz w:val="20"/>
        </w:rPr>
        <w:t>” commencing on page 35.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Intercont has one (1) direct subsidiary in Singapore, one (1) direct subsidiary in the British Virgin Islands (the “BVI Subsidiary”), and five (5) 100% owned indirect subsidiaries in Hong Kong (the “Hong Kong Subsidiaries”) through our BVI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certain legal and operational risks associated with our Hong Kong Subsidiaries, including changes in demand, economic and political developments and regulatory changes in Hong Kong, which will have a significant effect on our business, results of operations and financial condition. Hong Kong is a special administrative region of the People’s Republic of China (“PRC”) and the basic policies of the PRC regarding Hong Kong are reflected in the Basic Law of the Hong Kong Special Administrative Region of the People’s Republic of China (the “Basic Law”), namely, Hong Kong’s constitutional document, which provides Hong Kong with a high degree of autonomy and executive, legislative and independent judicial powers, including that of final adjudication under the principle of “one country, two systems”. Accordingly, we believe the laws and regulations of the PRC do not currently have any material impact on our business, financial condition or results of operations. However,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our Hong Kong Subsidiaries and us, and as to the possibilities that the PRC government may exercise significant oversight over the conduct of business in Hong Kong. If there is any significant change to current political arrangements between PRC and Hong Kong or the PRC government exerts more oversight and control over Hong Kong-based companies, a company operated in Hong Kong may face similar regulatory risks as those operated in the mainland of China, including its ability to offer securities to investors, list its securities on a U.S. or other foreign exchange, conduct its business, accept foreign investment, move money out of Hong Kong to distribute earnings or pay dividends or to reinvest in its business outside of Hong Kong. In light of the foregoing, there are risks and uncertainties which we cannot foresee, and policies, rules and regulations and the enforcement of laws in the PRC can change quickly with little or no advance notice, and our assertions and beliefs of the risk imposed by the PRC legal and regulatory system cannot be certain. There are risks that the PRC government may intervene or influence our current and future operations in Hong Kong at any time, or may exert more control over offerings conducted overseas and/or foreign investment in issuers likes ourselves. If the PRC government intervenes or influences our current and future operations in Hong Kong in the future, the Chinese regulatory authorities may disallow the holding company structure of us, which would likely result in a material change in our operations and a material change in the value of the Class A Ordinary Shares, including that it could cause the value of the Class A Ordinary Shares to significantly decline or become worthless. In addition, any actions by the PRC government to exert more oversight and control over offerings that are conducted overseas and/or foreign investment in Hong Kong-based issuers could significantly limit or completely hinder our ability to offer or continue to offer securities to investors and cause the value of such securities to significantly decline or be worthless. See “</w:t>
      </w:r>
      <w:r>
        <w:rPr>
          <w:rFonts w:ascii="Times New Roman PS Std;serif" w:hAnsi="Times New Roman PS Std;serif"/>
          <w:b w:val="false"/>
          <w:i/>
          <w:caps w:val="false"/>
          <w:smallCaps w:val="false"/>
          <w:sz w:val="20"/>
        </w:rPr>
        <w:t>Risk Factors — Risks Related to Doing Business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Hong Kong — 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legislation in Hong Kong concerning data privacy is the Personal Data (Privacy) Ordinance (Chapter 486 of the Laws of Hong Kong) (the “PDPO”), which regulates the collection, usage, storage, and transfer of personal data and imposes a statutory duty on data users to comply with the six data protection principles contained therein. We confirm that, to the best of our knowledge, information, and belief, as of the date of this prospectus, each of the Hong Kong Subsidiaries has complied with the laws and requirements in respect of data privacy in Hong Kong. However, the laws on data privacy are constantly evolving and may be subject to varying interpretations, resulting in uncertainties about the scope of our responsibilities in that regard. Failure to comply with the data privacy requirements in a timely manner, or at all, may subject us or our Hong Kong Subsidiaries to various potential consequences, including government enforcement actions and investigations, fines, penalties, imprisonment and suspension or disruption of the Hong Kong Subsidiaries’ operations, as well as potential civil proceedings. See “</w:t>
      </w:r>
      <w:r>
        <w:rPr>
          <w:rFonts w:ascii="Times New Roman PS Std;serif" w:hAnsi="Times New Roman PS Std;serif"/>
          <w:b w:val="false"/>
          <w:i/>
          <w:caps w:val="false"/>
          <w:smallCaps w:val="false"/>
          <w:sz w:val="20"/>
        </w:rPr>
        <w:t>Risk Factors — Risks Related to Doing Business in Hong Kong — Our Shipping Subsidiaries are subject to various evolving Hong Kong laws and regulations regarding data privacy, which could subject them to government enforcement actions and investigations, fines, penalties, and suspension or disruption of their operations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Competition Ordinance (Chapter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referred to as the first conduct rule, the second conduct rule, and the merger rule. See “</w:t>
      </w:r>
      <w:r>
        <w:rPr>
          <w:rFonts w:ascii="Times New Roman PS Std;serif" w:hAnsi="Times New Roman PS Std;serif"/>
          <w:b w:val="false"/>
          <w:i/>
          <w:caps w:val="false"/>
          <w:smallCaps w:val="false"/>
          <w:sz w:val="20"/>
        </w:rPr>
        <w:t>Risk Factors — Risks Related to Doing Business in Hong Kong — Failure to comply with Hong Kong Competition Law may result in material and adverse effect on our business, financial condition and results of operations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consulting our counsel to Hong Kong law, Lawrence Chan &amp; Co., we do not consider the said data privacy and anti-competition laws and regulations in Hong Kong restrict our ability to conduct our business, accept foreign investment or impose limitations on our ability to list on any U.S. or foreign stock exchange.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we generate all of our revenues from our Hong Kong Subsidiaries. Cash may be transferred among Intercont and its Hong Kong Subsidiaries, typically transferred through inter-company loans, to lend to and borrow from each other from time to time for business operation purposes. For the years ended June 30, 2025, 2024 and 2023, inter-company cash transfers among Intercont and its subsidiaries amounted to $50,000, $50,000 and $nil, respectively. For the period of the six months period ended December 31, 2025 and 2025, inter-company cash transfers among Intercont and its subsidiaries amounted to $84,337 and $50,000. No transfers of other assets have occurred among Intercont and its subsidiaries. Under the current laws of Hong Kong, except for the requirement of maintaining sufficient fund for the Hong Kong Subsidiaries to remain solvent as a going concern and meet its contractual obligations owed to third parties prohibiting or restricting dividend distributions, these Hong Kong Subsidiaries are not subject to restrictions of distributing funds out of distributable profits to the holding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legal opinion of Lawrence Chan &amp; Co., our counsel to Hong Kong law, there are currently no such restrictions on foreign exchange and our ability to transfer cash or assets between Intercont and the Hong Kong Subsidiaries. While there are currently no such restrictions on foreign exchange and our ability to transfer cash or assets between Intercont and the Hong Kong Subsidiaries, if certain PRC laws and regulations, including existing laws and regulations and those enacted or promulgated in the future, were to become applicable to us, and to the extent our cash or assets are in Hong Kong or a Hong Kong entity (such as the Hong Kong Subsidiaries), such funds or assets may not be available to fund operations or for other use outside of Hong Kong due to the imposition of restrictions, limitations, or procedures on transfer of funds or assets by the PRC government. Any limitation on the ability of any of the Hong Kong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the Hong Kong Subsidiaries incurs debt on its own behalf in the future, the instruments governing such debt may restrict its ability to pay dividends. See “</w:t>
      </w:r>
      <w:r>
        <w:rPr>
          <w:rFonts w:ascii="Times New Roman PS Std;serif" w:hAnsi="Times New Roman PS Std;serif"/>
          <w:b w:val="false"/>
          <w:i/>
          <w:caps w:val="false"/>
          <w:smallCaps w:val="false"/>
          <w:sz w:val="20"/>
        </w:rPr>
        <w:t>Risk Factors — Risks Related to Doing Business in Hong Kong — Intercont is an offshore holding company incorporated in the Cayman Islands. As a holding company with no material operations, Intercont’s operations are conducted by its subsidiaries in Asia, currently mostly in Hong Kong</w:t>
      </w:r>
      <w:r>
        <w:rPr>
          <w:rFonts w:ascii="Times New Roman PS Std;serif" w:hAnsi="Times New Roman PS Std;serif"/>
          <w:b w:val="false"/>
          <w:i w:val="false"/>
          <w:caps w:val="false"/>
          <w:smallCaps w:val="false"/>
          <w:sz w:val="20"/>
        </w:rPr>
        <w:t>” commencing on page 37.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competitive industry and a highly competitive market. We may be subject to a variety of laws and other obligations regarding competition laws in Hong Kong, and any failure to comply with applicable laws and obligations could have a material and adverse effect on our business, financial condition and results of operations. We face significant competition in the market due to the presence of a large amount shipping service providers. See “Risk Factors — Risks Related to Doing Business in Hong Kong — Failure to comply with Hong Kong Competition Law may result in material and adverse effect on our business, financial condition and results of operations” commencing on page 41.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a number of prohibitions, restrictions and potential delisting risk under the Holding Foreign Companies Accountable Act, or the “HFCAA”. Pursuant to the HFCAA and the related regulations, if we have filed an audit report issued by a registered public accounting firm that the Public Company Accounting Oversight Board (the “PCAOB”) has determined that it is unable to inspect and investigate completely, the United States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On December 16, 2021, the PCAOB issued a report on its determinations that it is unable to inspect or investigate completely PCAOB-registered public accounting firms headquartered in mainland China and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Hong Kong, because of positions taken by PRC authorities in those jurisdictions. Our former auditor, UHY LLP (“UHY”), is an independent registered public accounting firm that is headquartered in New York, New York. UHY has been inspected by the PCAOB on a regular basis and is not among such accounting firms. Our current auditor, Assentsure PAC (“Assentsure”), is an independent registered public accounting firm that is headquartered in Singapore, Singapore and is not among such accounting firms. In August 2022, the PCAOB, the China Securities Regulatory Commission, or the CSRC, and the Ministry of Finance of the PRC signed a Statement of Protocol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 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On February 24, 2023, the CSRC, the Ministry of Finance, the State Secrecy Administration, and the State Archives Bureau jointly issued the Provisions on Strengthening Confidentiality and Archives Administration in Respect of Overseas Issuance and Listing of Securities by Domestic Enterprises, or the Provisions, which aim to standardize confidentiality and archives administration in respect of direct or indirect overseas issuance of securities by domestic enterprises of the PRC and came into effect on March 31, 2023. Given that the Statement of Protocol and the Provisions have just been issued and that official guidance and related implementation rules of the Provisions have not been issued and the Provisions may be subject to further clarifications during subsequent implementation, should PRC authorities obstruct or otherwise fail to facilitate the PCAOB’s access in the future, the PCAOB may consider the need to issue a new determination.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the risk and uncertainty associated with delisting would have a negative impact on the price of Intercont’s Class A Ordinary Shares. See “</w:t>
      </w:r>
      <w:r>
        <w:rPr>
          <w:rFonts w:ascii="Times New Roman PS Std;serif" w:hAnsi="Times New Roman PS Std;serif"/>
          <w:b w:val="false"/>
          <w:i/>
          <w:caps w:val="false"/>
          <w:smallCaps w:val="false"/>
          <w:sz w:val="20"/>
        </w:rPr>
        <w:t>Risk 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w:t>
      </w:r>
      <w:r>
        <w:rPr>
          <w:rFonts w:ascii="Times New Roman PS Std;serif" w:hAnsi="Times New Roman PS Std;serif"/>
          <w:b w:val="false"/>
          <w:i w:val="false"/>
          <w:caps w:val="false"/>
          <w:smallCaps w:val="false"/>
          <w:sz w:val="20"/>
        </w:rPr>
        <w:t>commencing on page 47 for a detailed discussion.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aware that the PRC government recently initiated a series of statements and regulatory developments to regulate business operations in the mainland of China, some of which were with little advance notice, including cracking down on illegal activities in the securities market, enhancing supervision over China-based companies listed overseas, adopting new measures to extend the scope of cybersecurity reviews, expanding the efforts in anti-monopoly enforcement. Because we conduct substantially all of our businesses in Hong Kong and Singapore and have no operations in the mainland of China, we do not believe these statements and regulatory developments would apply to us. However, should these statements or regulatory actions apply to us, including our Hong Kong operations, in the future, or if we expand our business operations into the mainland of China in some ways such that we become subject to them to a greater extent, our ability to conduct our business, invest into the mainland of China as foreign investments or accept foreign investments, or list on a U.S. or other overseas exchange may be restricted. The failure to comply with these PRC regulations could result in penalties and other regulatory actions against us and may materially and adversely affect our business and results of operations. In addition, the PRC government has significant authority to intervene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influence the mainland of China or Hong Kong operations of an offshore holding company, such as ours, at any time.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 For a detailed description of risks relating to doing business in Hong Kong, see “</w:t>
      </w:r>
      <w:r>
        <w:rPr>
          <w:rFonts w:ascii="Times New Roman PS Std;serif" w:hAnsi="Times New Roman PS Std;serif"/>
          <w:b w:val="false"/>
          <w:i/>
          <w:caps w:val="false"/>
          <w:smallCaps w:val="false"/>
          <w:sz w:val="20"/>
        </w:rPr>
        <w:t>Risk Factors — Risks Related to Doing Business in Hong Kong</w:t>
      </w:r>
      <w:r>
        <w:rPr>
          <w:rFonts w:ascii="Times New Roman PS Std;serif" w:hAnsi="Times New Roman PS Std;serif"/>
          <w:b w:val="false"/>
          <w:i w:val="false"/>
          <w:caps w:val="false"/>
          <w:smallCaps w:val="false"/>
          <w:sz w:val="20"/>
        </w:rPr>
        <w:t>” commencing on page 37.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aware that, on February 17, 2023, the CSRC released the Trial Administrative Measures of Overseas Securities Offering and Listing by Domestic Companies, or the Trial Measures, and five supporting guidelines, which came into effect on March 31, 2023. Pursuant to the Trial Measures, PRC domestic companies that seek to offer or list securities overseas, both directly and indirectly, should fulfill the filing procedure to the CSRC. On the same day, the CSRC held a press conference for the release of the Trial Measures and issued the Notice on Administration for the Filing of Overseas Offering and Listing by Domestic Companies, which, among others, clarifies that (i) a six-month transition period will be granted to PRC domestic companies which, prior to the effective date of the Trial Measures, have already obtained the approval from overseas regulatory authorities or stock exchanges, such as completion of registration in the market of the United States, but have not completed the overseas listing; and (ii) PRC domestic companies that have already submitted valid applications for overseas offering and listing but have not obtained approval from overseas regulatory authorities or stock exchanges on or prior to the effective date of the Trial Measures, may reasonably arrange the timing for submitting their filing applications with the CSRC, and shall complete the filing before completion of their overseas offering and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and (ii) the determination as to whether or not an overseas offering and listing by a PRC domestic company is an “indirect overseas offering and listing”, shall be made on a “substance over form” basis (the “Discretional Clause”). We do not believe that we are subject to the Trial Measures because we conduct substantially all of our businesses in Hong Kong and Singapore, and have no operations in the mainland of China and our operating revenue, total profit, total assets or net assets were not derived from PRC domestic companies. However, we cannot rule out the possibility that CSRC would take a different view when determining whether to apply the Discretional Clause on us. As a result, if the CSRC determines that we shall complete the filing based on the Discretional Clause and we are later required to fulfill the filing procedure with the CSRC, we cannot guarantee that we will complete the CSRC filing procedure. For a description of relevant risks related to this offering, see “</w:t>
      </w:r>
      <w:r>
        <w:rPr>
          <w:rFonts w:ascii="Times New Roman PS Std;serif" w:hAnsi="Times New Roman PS Std;serif"/>
          <w:b w:val="false"/>
          <w:i/>
          <w:caps w:val="false"/>
          <w:smallCaps w:val="false"/>
          <w:sz w:val="20"/>
        </w:rPr>
        <w:t>Risk Factors — Risks Related to Intercont’s Class A Ordinary Shares and this Offering — 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w:t>
      </w:r>
      <w:r>
        <w:rPr>
          <w:rFonts w:ascii="Times New Roman PS Std;serif" w:hAnsi="Times New Roman PS Std;serif"/>
          <w:b w:val="false"/>
          <w:i w:val="false"/>
          <w:caps w:val="false"/>
          <w:smallCaps w:val="false"/>
          <w:sz w:val="20"/>
        </w:rPr>
        <w:t>” commencing on page 48.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under the federal securities laws and will be subject to reduced public company reporting requirements. Please read the disclosures beginning on page 12 of this prospectus for more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on June 4, 2026, the Company and Beverly Holding Limited, a company wholly owned by our chairman of the board of directors and chief executive officer, Ms. Muchun Zhu, entered into a subscription agreement pursuant to which Beverly Holding Limited agrees to subscribe 650,000 Class B ordinary shares. Following the completion of Beverly Holding Limited’s subscription and the completion of this offering, assuming a full offering of 8,000,000 Class A Ordinary Shares but not taking into account any Class A Ordinary Shares that are issuable under the Warrants, Ms. Zhu, will hold approximately 90.08% of the aggregate voting power of our issued and outstanding ordinary shares and will be able to determine all matters requiring approval by our shareholders. As such, we will continue to be deemed a “controlled company” under Nasdaq Listing Rules 5615(c). However, even if we are deemed to be a “controlled company,” we do not intend to avail ourselves of the corporate governance exemptions afforded to a “controlled company” under the Nasdaq Listing Rules.</w:t>
      </w:r>
    </w:p>
    <w:tbl>
      <w:tblPr>
        <w:tblW w:w="7360" w:type="dxa"/>
        <w:jc w:val="left"/>
        <w:tblInd w:w="0" w:type="dxa"/>
        <w:tblLayout w:type="fixed"/>
        <w:tblCellMar>
          <w:top w:w="0" w:type="dxa"/>
          <w:left w:w="0" w:type="dxa"/>
          <w:bottom w:w="0" w:type="dxa"/>
          <w:right w:w="0" w:type="dxa"/>
        </w:tblCellMar>
      </w:tblPr>
      <w:tblGrid>
        <w:gridCol w:w="3886"/>
        <w:gridCol w:w="146"/>
        <w:gridCol w:w="443"/>
        <w:gridCol w:w="1282"/>
        <w:gridCol w:w="146"/>
        <w:gridCol w:w="286"/>
        <w:gridCol w:w="1171"/>
      </w:tblGrid>
      <w:tr>
        <w:trPr/>
        <w:tc>
          <w:tcPr>
            <w:tcW w:w="38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and </w:t>
              <w:br/>
              <w:t xml:space="preserve">Accompanying </w:t>
              <w:br/>
              <w:t>Warrant</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(assuming </w:t>
              <w:br/>
              <w:t xml:space="preserve">maximum </w:t>
              <w:br/>
              <w:t>offering)</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6,320,000</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Placement agent commissions(1)</w:t>
            </w:r>
          </w:p>
        </w:tc>
        <w:tc>
          <w:tcPr>
            <w:tcW w:w="146" w:type="dxa"/>
            <w:tcBorders/>
            <w:vAlign w:val="bottom"/>
          </w:tcPr>
          <w:p>
            <w:pPr>
              <w:pStyle w:val="TableContents"/>
              <w:bidi w:val="0"/>
              <w:spacing w:before="0" w:after="283"/>
              <w:jc w:val="left"/>
              <w:rPr/>
            </w:pPr>
            <w:r>
              <w:rPr/>
              <w:t> </w:t>
            </w:r>
          </w:p>
        </w:tc>
        <w:tc>
          <w:tcPr>
            <w:tcW w:w="44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0.0395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316,000</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us(2)(3)</w:t>
            </w:r>
          </w:p>
        </w:tc>
        <w:tc>
          <w:tcPr>
            <w:tcW w:w="146"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0.7505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6,004,000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have agreed to pay the placement agent a commission equal to 5% of the gross proceeds raised in this offering together with a 1% non-accountable expense allowance. We have also agreed to reimburse the placement agent for certain of its offering-related expenses, including reimbursement for legal fees and other out-of-pocket fees, costs and expenses in the amount of up to $100,000. For more information about the compensation to be received by the placement agent, see “</w:t>
      </w:r>
      <w:r>
        <w:rPr>
          <w:rFonts w:ascii="Times New Roman PS Std;serif" w:hAnsi="Times New Roman PS Std;serif"/>
          <w:b w:val="false"/>
          <w:i/>
          <w:caps w:val="false"/>
          <w:smallCaps w:val="false"/>
          <w:sz w:val="18"/>
        </w:rPr>
        <w:t>Plan of Distribution</w:t>
      </w:r>
      <w:r>
        <w:rPr>
          <w:rFonts w:ascii="Times New Roman PS Std;serif" w:hAnsi="Times New Roman PS Std;serif"/>
          <w:b w:val="false"/>
          <w:i w:val="false"/>
          <w:caps w:val="false"/>
          <w:smallCaps w:val="false"/>
          <w:sz w:val="18"/>
        </w:rPr>
        <w: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For more information, see “</w:t>
      </w:r>
      <w:r>
        <w:rPr>
          <w:rFonts w:ascii="Times New Roman PS Std;serif" w:hAnsi="Times New Roman PS Std;serif"/>
          <w:b w:val="false"/>
          <w:i/>
          <w:caps w:val="false"/>
          <w:smallCaps w:val="false"/>
          <w:sz w:val="18"/>
        </w:rPr>
        <w:t>Plan of Distribution</w:t>
      </w:r>
      <w:r>
        <w:rPr>
          <w:rFonts w:ascii="Times New Roman PS Std;serif" w:hAnsi="Times New Roman PS Std;serif"/>
          <w:b w:val="false"/>
          <w:i w:val="false"/>
          <w:caps w:val="false"/>
          <w:smallCaps w:val="false"/>
          <w:sz w:val="18"/>
        </w:rPr>
        <w: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 of offering proceeds to us presented in this table does not give effect to any exercise of the Warrants.</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other regulatory body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Sole Placement Agent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7645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76450" cy="3905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July 7,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026">
              <w:r>
                <w:rPr>
                  <w:rStyle w:val="InternetLink"/>
                  <w:rFonts w:ascii="Times New Roman PS Std;serif" w:hAnsi="Times New Roman PS Std;serif"/>
                  <w:b w:val="false"/>
                  <w:i w:val="false"/>
                  <w:caps w:val="false"/>
                  <w:smallCaps w:val="false"/>
                  <w:sz w:val="20"/>
                </w:rPr>
                <w:t xml:space="preserve">SUMMARY OF COMBINED FINANCIAL AND OPERATING DATA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DIVIDEND POLICY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CAPITALIZATION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DILUTION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ENFORCEABILITY OF CIVIL LIABILITIES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REGULATIONS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PRINCIPAL SHAREHOLDERS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DESCRIPTION OF SHARE CAPITAL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SHARES ELIGIBLE FOR FUTURE SALE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DESCRIPTION OF SECURITIES WE ARE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EXPENSES RELATED TO THIS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18">
              <w:r>
                <w:rPr>
                  <w:rStyle w:val="InternetLink"/>
                  <w:rFonts w:ascii="Times New Roman PS Std;serif" w:hAnsi="Times New Roman PS Std;serif"/>
                  <w:b w:val="false"/>
                  <w:i w:val="false"/>
                  <w:caps w:val="false"/>
                  <w:smallCaps w:val="false"/>
                  <w:sz w:val="20"/>
                </w:rPr>
                <w:t xml:space="preserve">INDEX TO COMBINED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prospectus or any prospectus supplement or amendment. Neither we, nor the placement agent, have authorized any other person to provide you with information that is different from, or adds to, that contained in this prospectus. If anyone provides you with different or inconsistent information, you should not rely on it. Neither we nor the placement agent take responsibility for, and can provide no assurance as to the reliability of, any other information that others may give you. You should assume that the information contained in this prospectus or any free writing prospectus is accurate only as of the date of this prospectus, regardless of the time of delivery of this prospectus or of any sale of our securities. Our business, financial condition, results of operations and prospects may have changed since that date. We are not making an offer of any securities in any jurisdiction in which such offer is unlawful.</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public offering and the distribution of this prospectus applicable to that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23"/>
      <w:bookmarkEnd w:id="1"/>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Intercont’s Class A Ordinary Shares discussed under “Risk Factors” and information contained in “Management’s Discussion and Analysis of Financial Condition and Results of Operations” before deciding whether to buy Intercont’s Class A Ordinary Shares. As used in this prospectus, “we,” “us,” “the Group,” and “our,” refer to Intercont (Cayman) Limited, together as a group with its subsidiaries.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Mission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aim to leave green footprints across the oceans through our maritime shipping and seaborne pulping operation.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Corporate History and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31, 2025, Intercont closed its initial public offering of its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diagram illustrates our corporate structure as of the date of this prospectus.</w:t>
      </w:r>
    </w:p>
    <w:p>
      <w:pPr>
        <w:pStyle w:val="TextBody"/>
        <w:keepNext w:val="true"/>
        <w:pageBreakBefore w:val="false"/>
        <w:widowControl/>
        <w:pBdr/>
        <w:bidi w:val="0"/>
        <w:spacing w:before="240" w:after="283"/>
        <w:jc w:val="center"/>
        <w:rPr>
          <w:caps w:val="false"/>
          <w:smallCaps w:val="false"/>
          <w:bdr w:val="single" w:sz="8" w:space="10" w:color="000000"/>
        </w:rPr>
      </w:pPr>
      <w:r>
        <w:rPr>
          <w:caps w:val="false"/>
          <w:smallCaps w:val="false"/>
          <w:bdr w:val="single" w:sz="8" w:space="10" w:color="000000"/>
        </w:rPr>
        <w:drawing>
          <wp:inline distT="0" distB="0" distL="0" distR="0">
            <wp:extent cx="5705475" cy="22155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05475" cy="221551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for the six months ended December 31, 2025 and 2024, respectively, which constitute 100% of the Group’s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Group plans to operate its seaborne pulping business through Openwindow and build its seaborne pulping business upon its long-established global maritime shipping operations. The Group expects to launch its seaborne pulping business through a combination of self-owned vessels and partnerships with other shipowners for leased-in vessels, sourcing its primary raw materials from North America through multiple channels. However, several changes in U.S. foreign trade and tax regulations during the past fiscal year have introduced uncertainties to the upstream supply. Once external economic and political conditions stabilize, the Company intends to initiate its seaborne business at an appropriate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Competitive Advantages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the following competitive strengths have contributed and will continue to contribute to our success.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Global maritime shipping Services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Established Track Record in Global maritime shipping.    </w:t>
      </w:r>
      <w:r>
        <w:rPr>
          <w:rFonts w:ascii="Times New Roman PS Std;serif" w:hAnsi="Times New Roman PS Std;serif"/>
          <w:b w:val="false"/>
          <w:i w:val="false"/>
          <w:caps w:val="false"/>
          <w:smallCaps w:val="false"/>
          <w:sz w:val="20"/>
          <w:bdr w:val="single" w:sz="8" w:space="10" w:color="000000"/>
        </w:rPr>
        <w:t>Our Shipping Subsidiaries and management team have been in the global maritime shipping business for over a decade. Over the years, our Shipping Subsidiaries have maintained stable business relationships with critical suppliers and customers.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Strong Balance Sheet Positioned for Additional Growth.    </w:t>
      </w:r>
      <w:r>
        <w:rPr>
          <w:rFonts w:ascii="Times New Roman PS Std;serif" w:hAnsi="Times New Roman PS Std;serif"/>
          <w:b w:val="false"/>
          <w:i w:val="false"/>
          <w:caps w:val="false"/>
          <w:smallCaps w:val="false"/>
          <w:sz w:val="20"/>
          <w:bdr w:val="single" w:sz="8" w:space="10" w:color="000000"/>
        </w:rPr>
        <w:t>The Group has maintained a stable 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Experienced management team.    </w:t>
      </w:r>
      <w:r>
        <w:rPr>
          <w:rFonts w:ascii="Times New Roman PS Std;serif" w:hAnsi="Times New Roman PS Std;serif"/>
          <w:b w:val="false"/>
          <w:i w:val="false"/>
          <w:caps w:val="false"/>
          <w:smallCaps w:val="false"/>
          <w:sz w:val="20"/>
          <w:bdr w:val="single" w:sz="8" w:space="10" w:color="000000"/>
        </w:rPr>
        <w:t>The Group has an experienced team. Each management team 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Large cargo contracts base and strong relationships with key counterparties.    </w:t>
      </w:r>
      <w:r>
        <w:rPr>
          <w:rFonts w:ascii="Times New Roman PS Std;serif" w:hAnsi="Times New Roman PS Std;serif"/>
          <w:b w:val="false"/>
          <w:i w:val="false"/>
          <w:caps w:val="false"/>
          <w:smallCaps w:val="false"/>
          <w:sz w:val="20"/>
          <w:bdr w:val="single" w:sz="8" w:space="10" w:color="000000"/>
        </w:rPr>
        <w:t>Intercont has built a 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Seaborne Pulping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Light-asset</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business model.    </w:t>
      </w:r>
      <w:r>
        <w:rPr>
          <w:rFonts w:ascii="Times New Roman PS Std;serif" w:hAnsi="Times New Roman PS Std;serif"/>
          <w:b w:val="false"/>
          <w:i w:val="false"/>
          <w:caps w:val="false"/>
          <w:smallCaps w:val="false"/>
          <w:sz w:val="20"/>
          <w:bdr w:val="single" w:sz="8" w:space="10" w:color="000000"/>
        </w:rPr>
        <w:t>Unlike traditional shipping companies, Openwindow plans to operate 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Product quality.    </w:t>
      </w:r>
      <w:r>
        <w:rPr>
          <w:rFonts w:ascii="Times New Roman PS Std;serif" w:hAnsi="Times New Roman PS Std;serif"/>
          <w:b w:val="false"/>
          <w:i w:val="false"/>
          <w:caps w:val="false"/>
          <w:smallCaps w:val="false"/>
          <w:sz w:val="20"/>
          <w:bdr w:val="single" w:sz="8" w:space="10" w:color="000000"/>
        </w:rPr>
        <w:t>Utilizing advanced equipment and procedures, Openwindow expects to be able to 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Targeted market.    </w:t>
      </w:r>
      <w:r>
        <w:rPr>
          <w:rFonts w:ascii="Times New Roman PS Std;serif" w:hAnsi="Times New Roman PS Std;serif"/>
          <w:b w:val="false"/>
          <w:i w:val="false"/>
          <w:caps w:val="false"/>
          <w:smallCaps w:val="false"/>
          <w:sz w:val="20"/>
          <w:bdr w:val="single" w:sz="8" w:space="10" w:color="000000"/>
        </w:rPr>
        <w:t>Openwindow’s pulp is expected to be suitable for making paper containers and packages, widely used in the logistics and delivery industry. With a large volume of online shopping transactions, we believe Asia’s market has a corresponding appetite for packaging materials. Openwindow expects to benefit from this specific segment of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Growth Strategies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Global maritime shipping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Organically grow our fleet</w:t>
      </w:r>
      <w:r>
        <w:rPr>
          <w:rFonts w:ascii="Times New Roman PS Std;serif" w:hAnsi="Times New Roman PS Std;serif"/>
          <w:b w:val="false"/>
          <w:i w:val="false"/>
          <w:caps w:val="false"/>
          <w:smallCaps w:val="false"/>
          <w:sz w:val="20"/>
          <w:bdr w:val="single" w:sz="8" w:space="10" w:color="000000"/>
        </w:rPr>
        <w:t>.    Our Shipping Subsidiaries plan to organically grow our fleet to increase our revenue and meet increasing demands. Our Shipping Subsidiaries expect to acquire two (2) additional vessels in the upcoming five years but our Shipping Subsidiaries have not entered into any contracts of acquisition of vessels as of the date of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Improve operation efficiency.    </w:t>
      </w:r>
      <w:r>
        <w:rPr>
          <w:rFonts w:ascii="Times New Roman PS Std;serif" w:hAnsi="Times New Roman PS Std;serif"/>
          <w:b w:val="false"/>
          <w:i w:val="false"/>
          <w:caps w:val="false"/>
          <w:smallCaps w:val="false"/>
          <w:sz w:val="20"/>
          <w:bdr w:val="single" w:sz="8" w:space="10" w:color="000000"/>
        </w:rPr>
        <w:t>We plan to improve the efficiency of our operations, by introducing more advanced technology to empower the chartering service. By better connecting the needs of shipowners and charters, as well as more efficiently arranging the vessel space, we expect to further increase the profit margin of the chartering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Consolidate the financial conditions.    </w:t>
      </w:r>
      <w:r>
        <w:rPr>
          <w:rFonts w:ascii="Times New Roman PS Std;serif" w:hAnsi="Times New Roman PS Std;serif"/>
          <w:b w:val="false"/>
          <w:i w:val="false"/>
          <w:caps w:val="false"/>
          <w:smallCaps w:val="false"/>
          <w:sz w:val="20"/>
          <w:bdr w:val="single" w:sz="8" w:space="10" w:color="000000"/>
        </w:rPr>
        <w:t>Some of our Shipping Subsidiaries’ vessels are financed, subjecting us to potential risks from interest rate changes and market volatilities. We plan to adjust our capital structure based on the outcome of our operations and market conditions to reduce risks.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Seaborne Pulping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Increase the number of pulping factory ships</w:t>
      </w:r>
      <w:r>
        <w:rPr>
          <w:rFonts w:ascii="Times New Roman PS Std;serif" w:hAnsi="Times New Roman PS Std;serif"/>
          <w:b w:val="false"/>
          <w:i w:val="false"/>
          <w:caps w:val="false"/>
          <w:smallCaps w:val="false"/>
          <w:sz w:val="20"/>
          <w:bdr w:val="single" w:sz="8" w:space="10" w:color="000000"/>
        </w:rPr>
        <w:t>.    Openwindow has contacted a shipowner to set up a factory ship with specific specifications for its seaborne pulping operations and may proceed the cooperation depending on the external economic environment and market conditions.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Expand product lines.    </w:t>
      </w:r>
      <w:r>
        <w:rPr>
          <w:rFonts w:ascii="Times New Roman PS Std;serif" w:hAnsi="Times New Roman PS Std;serif"/>
          <w:b w:val="false"/>
          <w:i w:val="false"/>
          <w:caps w:val="false"/>
          <w:smallCaps w:val="false"/>
          <w:sz w:val="20"/>
          <w:bdr w:val="single" w:sz="8" w:space="10" w:color="000000"/>
        </w:rPr>
        <w:t>The current designs of Openwindow’s equipment and technology are expected to work best for making pulp out of old corrugated containers. Openwindow plans to improve its technology to manufacture pulp out of other materials and for other purposes.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Acquire more customers.    </w:t>
      </w:r>
      <w:r>
        <w:rPr>
          <w:rFonts w:ascii="Times New Roman PS Std;serif" w:hAnsi="Times New Roman PS Std;serif"/>
          <w:b w:val="false"/>
          <w:i w:val="false"/>
          <w:caps w:val="false"/>
          <w:smallCaps w:val="false"/>
          <w:sz w:val="20"/>
          <w:bdr w:val="single" w:sz="8" w:space="10" w:color="000000"/>
        </w:rPr>
        <w:t>Openwindow’s seaborne pulping business is at an early stage. To further grow its business, Openwindow expects to expand its customer base for higher bargaining power and flexibility.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January 2026 Extraordinary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26, 2026, the Company held its extraordinary shareholder general meeting (the “First EGM”). At the First EGM, the shareholders of the Company adopted the following resolutions: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     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(ii)    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(iii)   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 (equivalent to 38,780,628 shares on a post-consolidation basis) as Class A Shares.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ordinary shares and per share data for all periods in this filing have been retroactively restated accordingly, unless otherwise indicated.</w:t>
      </w:r>
    </w:p>
    <w:p>
      <w:pPr>
        <w:pStyle w:val="TextBody"/>
        <w:keepNext w:val="false"/>
        <w:pageBreakBefore w:val="false"/>
        <w:widowControl/>
        <w:pBdr/>
        <w:bidi w:val="0"/>
        <w:spacing w:before="1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June 2026 Extraordinary General Meeting</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Class A Meeting:</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     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4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(1)    the newly increased and unissued 79,960,206,598.04 Ordinary Shares be redesignated as Class A Shares; and</w:t>
      </w:r>
    </w:p>
    <w:p>
      <w:pPr>
        <w:pStyle w:val="TextBody"/>
        <w:keepNext w:val="false"/>
        <w:pageBreakBefore w:val="false"/>
        <w:widowControl/>
        <w:pBdr/>
        <w:bidi w:val="0"/>
        <w:spacing w:before="14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(2)    the newly increased and unissued 19,999,793,401.96 Ordinary Shares be redesignated into Class B Shares.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Second EGM:</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     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4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(1)    the newly increased and unissued 79,960,206,598.04 Ordinary Shares be redesignated as Class A Shares; and</w:t>
      </w:r>
    </w:p>
    <w:p>
      <w:pPr>
        <w:pStyle w:val="TextBody"/>
        <w:keepNext w:val="false"/>
        <w:pageBreakBefore w:val="false"/>
        <w:widowControl/>
        <w:pBdr/>
        <w:bidi w:val="0"/>
        <w:spacing w:before="140" w:after="283"/>
        <w:ind w:left="144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(2)    the newly increased and unissued 19,999,793,401.96 Ordinary Shares be redesignated into Class B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(iii)   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(iv)   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(v)    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Entry into Securities Purchase Agreements with certain Investors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White Lion Purchase Agreement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20, 2025, Intercont entered into the White Lion Purchase Agreement with White Lion Capital. Pursuant to the White Lion Purchase Agreement, White Lion Capital is committed to purchase Intercont’s Class A Ordinary Shares with an aggregate gross purchase price of up to $10,000,000 (as may be adjusted as described below, the “White Lion Commitment Amount”), from time to time during the period commencing on the August 20, 2025 and ending on the earlier of (i) the date on which White Lion Capital shall have purchased an aggregate number of Ordinary Shares equal to the White Lion Commitment Amount or (ii) the later of the 18 month anniversary of August 20, 2025 or the first closing (the “White Lion Commitment Period”). The White Lion Commitment Amount may be increased up to $30,000,000 upon the mutual written consent of White Lion Capital and Intercont.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 On February 3, 2026, the Company issued 4,000 Class A Ordinary Shares of the Company at a price of $4.41 per share for consideration of $17,052. On April 13, 2026, the Company issued 20,000 Class A Ordinary Shares of the Company at a price of $2.01 per share for consideration of $40,127. On April 14, 2026, the Company issued 20,000 Class A Ordinary Shares of the Company at a price of $1.86 per share for consideration of $37,127. On April 15, 2026, the Company issued 35,000 Class A Ordinary Shares of the Company at a price of $1.62 per share for consideration of $56,627. On April 16, 2026, the Company issued 20,000 Class A Ordinary Shares of the Company at a price of $1.45 per share for consideration of $28,927. On April 17, 2026, the Company issued 20,000 Class A Ordinary Shares of the Company at a price of $1.67 per share for consideration of $33,327.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Entry and Termination of Streeterville Purchase Agreement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4, 2025, Intercont entered into a Securities Purchase Agreement (the “Streeterville Purchase Agreement”) with Streeterville Capital, LLC, a Utah limited liability company (“Streeterville Capital”), pursuant to which Streeterville Capital agreed to purchase from Intercont one or more pre-paid purchases (each a “Pre-Paid Purchase” and together the “Pre-Paid Purchases”) in the aggregate purchase amount of up to $10,000,000.00 (the “Streeterville Commitment Amount”) for the purchase of Intercont’s Class A Ordinary Shares (the “Purchase Shares”). At the closing of the Streeterville Purchase Agreement (the “Closing”) on September 9, 2025, Intercont issued 3,419 Ordinary Shares to Streeterville Capital as a commitment fee (the “Streeterville Commitment Shares” and together with the White Lion Commitment Shares, the “Commitment Shares”) and 102,200 Ordinary Shares to be used as pre-delivery shares (the “Streeterville Pre-Delivery Shares”).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Purchase Agreement provides for a second Pre-Paid Purchase in the principal amount of $540,000, before deducting an original issue discount (the “OID”) of $40,000. The Company received net proceeds of $500,000 on January 13, 2026.</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30, 2026, Intercont entered into a Payoff Acknowledgment and Termination Agreement with Streeterville Capital to terminate the Streeterville Purchase Agreement.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Factors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Intercont’s Class A Ordinary Shares involves significant risks. You should carefully consider all of the information in this prospectus before making an investment in Intercont’s Class A Ordinary Shares. We set forth below a summary of the principal risks and challenges we face, organized under relevant headings. These risks are discussed more fully in the section 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business and industry</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Risks and uncertainties relating to our business and industry include, but are not limited to, the following: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 See “Risk Factors — </w:t>
      </w:r>
      <w:r>
        <w:rPr>
          <w:rFonts w:ascii="Times New Roman PS Std;serif" w:hAnsi="Times New Roman PS Std;serif"/>
          <w:b w:val="false"/>
          <w:i/>
          <w:caps w:val="false"/>
          <w:smallCaps w:val="false"/>
          <w:sz w:val="20"/>
          <w:bdr w:val="single" w:sz="8" w:space="10" w:color="000000"/>
        </w:rPr>
        <w:t xml:space="preserve">Risks Related to Our Business and Industry — The report of our independent registered public accounting firm on our financial statements includes an explanatory paragraph emphasizing that the Company’s ability to continue as a going concern is </w:t>
      </w:r>
      <w:r>
        <w:rPr>
          <w:rFonts w:ascii="Times New Roman PS Std;serif" w:hAnsi="Times New Roman PS Std;serif"/>
          <w:b w:val="false"/>
          <w:i w:val="false"/>
          <w:caps w:val="false"/>
          <w:smallCaps w:val="false"/>
          <w:sz w:val="20"/>
          <w:bdr w:val="single" w:sz="8" w:space="10" w:color="000000"/>
        </w:rPr>
        <w:t>dependent</w:t>
      </w:r>
      <w:r>
        <w:rPr>
          <w:rFonts w:ascii="Times New Roman PS Std;serif" w:hAnsi="Times New Roman PS Std;serif"/>
          <w:b w:val="false"/>
          <w:i/>
          <w:caps w:val="false"/>
          <w:smallCaps w:val="false"/>
          <w:sz w:val="20"/>
          <w:bdr w:val="single" w:sz="8" w:space="10" w:color="000000"/>
        </w:rPr>
        <w:t xml:space="preserve">, in part, on receiving financial support from the Company’s primary shareholders” </w:t>
      </w:r>
      <w:r>
        <w:rPr>
          <w:rFonts w:ascii="Times New Roman PS Std;serif" w:hAnsi="Times New Roman PS Std;serif"/>
          <w:b w:val="false"/>
          <w:i w:val="false"/>
          <w:caps w:val="false"/>
          <w:smallCaps w:val="false"/>
          <w:sz w:val="20"/>
          <w:bdr w:val="single" w:sz="8" w:space="10" w:color="000000"/>
        </w:rPr>
        <w:t>commencing on page 21.</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Ongoing geopolitical tensions around the world may have a material adverse effect on our business, financial condition, and results of operations. See “</w:t>
      </w:r>
      <w:r>
        <w:rPr>
          <w:rFonts w:ascii="Times New Roman PS Std;serif" w:hAnsi="Times New Roman PS Std;serif"/>
          <w:b w:val="false"/>
          <w:i/>
          <w:caps w:val="false"/>
          <w:smallCaps w:val="false"/>
          <w:sz w:val="20"/>
          <w:bdr w:val="single" w:sz="8" w:space="10" w:color="000000"/>
        </w:rPr>
        <w:t>Risk Factors — Risks Related to Our Business and Industry — Ongoing geopolitical tensions around the world may have a material adverse effect on our business, financial condition, and results of operations</w:t>
      </w:r>
      <w:r>
        <w:rPr>
          <w:rFonts w:ascii="Times New Roman PS Std;serif" w:hAnsi="Times New Roman PS Std;serif"/>
          <w:b w:val="false"/>
          <w:i w:val="false"/>
          <w:caps w:val="false"/>
          <w:smallCaps w:val="false"/>
          <w:sz w:val="20"/>
          <w:bdr w:val="single" w:sz="8" w:space="10" w:color="000000"/>
        </w:rPr>
        <w:t>” commencing on page 21.</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business of our Shipping Subsidiaries could be negatively impacted by the cyclical nature of the shipping industry.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The business of our Shipping Subsidiaries could be negatively impacted by the cyclical nature of the shipping industry” </w:t>
      </w:r>
      <w:r>
        <w:rPr>
          <w:rFonts w:ascii="Times New Roman PS Std;serif" w:hAnsi="Times New Roman PS Std;serif"/>
          <w:b w:val="false"/>
          <w:i w:val="false"/>
          <w:caps w:val="false"/>
          <w:smallCaps w:val="false"/>
          <w:sz w:val="20"/>
          <w:bdr w:val="single" w:sz="8" w:space="10" w:color="000000"/>
        </w:rPr>
        <w:t>commencing on page 23</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face certain risks related to our transaction arrangements with our affiliates. See “</w:t>
      </w:r>
      <w:r>
        <w:rPr>
          <w:rFonts w:ascii="Times New Roman PS Std;serif" w:hAnsi="Times New Roman PS Std;serif"/>
          <w:b w:val="false"/>
          <w:i/>
          <w:caps w:val="false"/>
          <w:smallCaps w:val="false"/>
          <w:sz w:val="20"/>
          <w:bdr w:val="single" w:sz="8" w:space="10" w:color="000000"/>
        </w:rPr>
        <w:t>Risk Factors — Risks Related to Our Business and Industry — We face certain risks related to our transaction arrangements with our affiliates</w:t>
      </w:r>
      <w:r>
        <w:rPr>
          <w:rFonts w:ascii="Times New Roman PS Std;serif" w:hAnsi="Times New Roman PS Std;serif"/>
          <w:b w:val="false"/>
          <w:i w:val="false"/>
          <w:caps w:val="false"/>
          <w:smallCaps w:val="false"/>
          <w:sz w:val="20"/>
          <w:bdr w:val="single" w:sz="8" w:space="10" w:color="000000"/>
        </w:rPr>
        <w:t>” commencing on page 24</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The profitability and growth of our Shipping Subsidiaries are contingent on the demand for shipping vessels and global economic conditions,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consumer confidence and spending playing a crucial role in influencing shipping volume and charter rates. The volatility or potential increase in charter hire rates for shipping vessels could negatively impact our Shipping Subsidiaries’ profitability</w:t>
      </w:r>
      <w:r>
        <w:rPr>
          <w:rFonts w:ascii="Times New Roman PS Std;serif" w:hAnsi="Times New Roman PS Std;serif"/>
          <w:b w:val="false"/>
          <w:i w:val="false"/>
          <w:caps w:val="false"/>
          <w:smallCaps w:val="false"/>
          <w:sz w:val="20"/>
          <w:bdr w:val="single" w:sz="8" w:space="10" w:color="000000"/>
        </w:rPr>
        <w:t>” commencing on page 24</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Intercont’s Shipping Subsidiaries operate in a highly competitive global maritime shipping industry and if they do not compete successfully with new entrants or established companies with greater resources, its shipping business growth and results of operations may be adversely affected. See “</w:t>
      </w:r>
      <w:r>
        <w:rPr>
          <w:rFonts w:ascii="Times New Roman PS Std;serif" w:hAnsi="Times New Roman PS Std;serif"/>
          <w:b w:val="false"/>
          <w:i/>
          <w:caps w:val="false"/>
          <w:smallCaps w:val="false"/>
          <w:sz w:val="20"/>
          <w:bdr w:val="single" w:sz="8" w:space="10" w:color="000000"/>
        </w:rPr>
        <w:t>Risk Factors — Risks Related to Our Business and Industry — Intercont’s Shipping Subsidiaries operate in a highly competitive global maritime shipping industry and if they do not compete successfully with new entrants or established companies with greater resources, its shipping business growth and results of operations may be adversely affected</w:t>
      </w:r>
      <w:r>
        <w:rPr>
          <w:rFonts w:ascii="Times New Roman PS Std;serif" w:hAnsi="Times New Roman PS Std;serif"/>
          <w:b w:val="false"/>
          <w:i w:val="false"/>
          <w:caps w:val="false"/>
          <w:smallCaps w:val="false"/>
          <w:sz w:val="20"/>
          <w:bdr w:val="single" w:sz="8" w:space="10" w:color="000000"/>
        </w:rPr>
        <w:t>” commencing on page 26</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Global events, such as terrorist attacks and regional conflicts, have the potential to significantly impact Intercont’s business, financial status, operational results, and cash flows.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Global events, such as terrorist attacks and regional conflicts, have the potential to significantly impact Intercont’s business, financial status, operational results, and cash flows” </w:t>
      </w:r>
      <w:r>
        <w:rPr>
          <w:rFonts w:ascii="Times New Roman PS Std;serif" w:hAnsi="Times New Roman PS Std;serif"/>
          <w:b w:val="false"/>
          <w:i w:val="false"/>
          <w:caps w:val="false"/>
          <w:smallCaps w:val="false"/>
          <w:sz w:val="20"/>
          <w:bdr w:val="single" w:sz="8" w:space="10" w:color="000000"/>
        </w:rPr>
        <w:t>commencing on page 26.</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paper product industry is cyclical in nature. Fluctuations in the prices of, and the demand for, our seaborne pulping products could result in lower sales volumes and smaller profit margins.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The paper product industry is cyclical in nature. Fluctuations in the prices of, and the demand for, our seaborne pulping products could result in lower sales volumes and smaller profit margins” </w:t>
      </w:r>
      <w:r>
        <w:rPr>
          <w:rFonts w:ascii="Times New Roman PS Std;serif" w:hAnsi="Times New Roman PS Std;serif"/>
          <w:b w:val="false"/>
          <w:i w:val="false"/>
          <w:caps w:val="false"/>
          <w:smallCaps w:val="false"/>
          <w:sz w:val="20"/>
          <w:bdr w:val="single" w:sz="8" w:space="10" w:color="000000"/>
        </w:rPr>
        <w:t>commencing on page 31.</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seaborne pulping business is still in early stages, and may not operate profitably, if at all.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Our seaborne pulping business is still in early stages, and may not operate profitably, if at all” </w:t>
      </w:r>
      <w:r>
        <w:rPr>
          <w:rFonts w:ascii="Times New Roman PS Std;serif" w:hAnsi="Times New Roman PS Std;serif"/>
          <w:b w:val="false"/>
          <w:i w:val="false"/>
          <w:caps w:val="false"/>
          <w:smallCaps w:val="false"/>
          <w:sz w:val="20"/>
          <w:bdr w:val="single" w:sz="8" w:space="10" w:color="000000"/>
        </w:rPr>
        <w:t>commencing on page 31.</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seaborne pulping business may not comply with all the import/export laws and regulations.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Our seaborne pulping business may not comply with all the import/export laws and regulations” </w:t>
      </w:r>
      <w:r>
        <w:rPr>
          <w:rFonts w:ascii="Times New Roman PS Std;serif" w:hAnsi="Times New Roman PS Std;serif"/>
          <w:b w:val="false"/>
          <w:i w:val="false"/>
          <w:caps w:val="false"/>
          <w:smallCaps w:val="false"/>
          <w:sz w:val="20"/>
          <w:bdr w:val="single" w:sz="8" w:space="10" w:color="000000"/>
        </w:rPr>
        <w:t>commencing on page 32.</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seaborne pulping business model is still in experimental stages and the current plan may not fully materialize when applied into operations. See “</w:t>
      </w:r>
      <w:r>
        <w:rPr>
          <w:rFonts w:ascii="Times New Roman PS Std;serif" w:hAnsi="Times New Roman PS Std;serif"/>
          <w:b w:val="false"/>
          <w:i/>
          <w:caps w:val="false"/>
          <w:smallCaps w:val="false"/>
          <w:sz w:val="20"/>
          <w:bdr w:val="single" w:sz="8" w:space="10" w:color="000000"/>
        </w:rPr>
        <w:t>Risk Factors — Risks Related to Our Business and Industry — Our seaborne pulping business model is still in experimental stages and the current plan may not fully materialize when applied into operations</w:t>
      </w:r>
      <w:r>
        <w:rPr>
          <w:rFonts w:ascii="Times New Roman PS Std;serif" w:hAnsi="Times New Roman PS Std;serif"/>
          <w:b w:val="false"/>
          <w:i w:val="false"/>
          <w:caps w:val="false"/>
          <w:smallCaps w:val="false"/>
          <w:sz w:val="20"/>
          <w:bdr w:val="single" w:sz="8" w:space="10" w:color="000000"/>
        </w:rPr>
        <w:t>” commencing on page 32.</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significantly rely on third-party intellectual property to carry out our seaborne pulping business, if we fail to continue the license, our seaborne pulping business will suffer material loss or fail to proceed. See “</w:t>
      </w:r>
      <w:r>
        <w:rPr>
          <w:rFonts w:ascii="Times New Roman PS Std;serif" w:hAnsi="Times New Roman PS Std;serif"/>
          <w:b w:val="false"/>
          <w:i/>
          <w:caps w:val="false"/>
          <w:smallCaps w:val="false"/>
          <w:sz w:val="20"/>
          <w:bdr w:val="single" w:sz="8" w:space="10" w:color="000000"/>
        </w:rPr>
        <w:t>Risk Factors — Risks Related to Our Business and Industry — We significantly rely on third-party</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 xml:space="preserve">intellectual property to carry out our seaborne pulping business, if we fail to continue the license, our seaborne pulping business will suffer material loss or fail to proceed” </w:t>
      </w:r>
      <w:r>
        <w:rPr>
          <w:rFonts w:ascii="Times New Roman PS Std;serif" w:hAnsi="Times New Roman PS Std;serif"/>
          <w:b w:val="false"/>
          <w:i w:val="false"/>
          <w:caps w:val="false"/>
          <w:smallCaps w:val="false"/>
          <w:sz w:val="20"/>
          <w:bdr w:val="single" w:sz="8" w:space="10" w:color="000000"/>
        </w:rPr>
        <w:t>commencing on page 32.</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corporate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(Cayman) Limited is a Cayman Islands holding company with no substantive operations. Intercont currently carries out its business primarily through its Shipping Subsidiaries. Intercont and holders of Intercont’s securities (including the Class A Ordinary Shares) are therefore subject to various legal and operational risks and uncertainties related to Intercont’s corporate structure, which would result in a material adverse change in our operations, cause the value of any securities Intercont offers to significantly decline or become worthless. Such risks and uncertainties include, but are not limited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Cayman Islands economic substance requirements may have an effect on our business and operations. See “</w:t>
      </w:r>
      <w:r>
        <w:rPr>
          <w:rFonts w:ascii="Times New Roman PS Std;serif" w:hAnsi="Times New Roman PS Std;serif"/>
          <w:b w:val="false"/>
          <w:i/>
          <w:caps w:val="false"/>
          <w:smallCaps w:val="false"/>
          <w:sz w:val="20"/>
          <w:bdr w:val="single" w:sz="8" w:space="10" w:color="000000"/>
        </w:rPr>
        <w:t xml:space="preserve">Risk Factors — Risks Related to Our Corporate Structure — Cayman Islands economic substance requirements may have an effect on our business and operations” </w:t>
      </w:r>
      <w:r>
        <w:rPr>
          <w:rFonts w:ascii="Times New Roman PS Std;serif" w:hAnsi="Times New Roman PS Std;serif"/>
          <w:b w:val="false"/>
          <w:i w:val="false"/>
          <w:caps w:val="false"/>
          <w:smallCaps w:val="false"/>
          <w:sz w:val="20"/>
          <w:bdr w:val="single" w:sz="8" w:space="10" w:color="000000"/>
        </w:rPr>
        <w:t>commencing on page 35</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Intercont is incorporated under Cayman Islands law, you may face difficulties in protecting your interests, and your ability to protect your rights through U.S. courts may be limited. See “</w:t>
      </w:r>
      <w:r>
        <w:rPr>
          <w:rFonts w:ascii="Times New Roman PS Std;serif" w:hAnsi="Times New Roman PS Std;serif"/>
          <w:b w:val="false"/>
          <w:i/>
          <w:caps w:val="false"/>
          <w:smallCaps w:val="false"/>
          <w:sz w:val="20"/>
          <w:bdr w:val="single" w:sz="8" w:space="10" w:color="000000"/>
        </w:rPr>
        <w:t xml:space="preserve">Risk Factors — Risks Related to Our Corporate Structure — As Intercont is incorporated under the Cayman Islands law, you may face difficulties in protecting your interests, and your ability to protect your rights through U.S. courts may be limited.” </w:t>
      </w:r>
      <w:r>
        <w:rPr>
          <w:rFonts w:ascii="Times New Roman PS Std;serif" w:hAnsi="Times New Roman PS Std;serif"/>
          <w:b w:val="false"/>
          <w:i w:val="false"/>
          <w:caps w:val="false"/>
          <w:smallCaps w:val="false"/>
          <w:sz w:val="20"/>
          <w:bdr w:val="single" w:sz="8" w:space="10" w:color="000000"/>
        </w:rPr>
        <w:t>commencing on page 36</w:t>
      </w:r>
      <w:r>
        <w:rPr>
          <w:rFonts w:ascii="Times New Roman PS Std;serif" w:hAnsi="Times New Roman PS Std;serif"/>
          <w:b w:val="false"/>
          <w:i/>
          <w:caps w:val="false"/>
          <w:smallCaps w:val="false"/>
          <w:sz w:val="20"/>
          <w:bdr w:val="single" w:sz="8" w:space="10" w:color="00000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See “</w:t>
      </w:r>
      <w:r>
        <w:rPr>
          <w:rFonts w:ascii="Times New Roman PS Std;serif" w:hAnsi="Times New Roman PS Std;serif"/>
          <w:b w:val="false"/>
          <w:i/>
          <w:caps w:val="false"/>
          <w:smallCaps w:val="false"/>
          <w:sz w:val="20"/>
          <w:bdr w:val="single" w:sz="8" w:space="10" w:color="000000"/>
        </w:rPr>
        <w:t xml:space="preserve">Risk Factors — Risks Related to Our Corporate Structure — 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w:t>
      </w:r>
      <w:r>
        <w:rPr>
          <w:rFonts w:ascii="Times New Roman PS Std;serif" w:hAnsi="Times New Roman PS Std;serif"/>
          <w:b w:val="false"/>
          <w:i w:val="false"/>
          <w:caps w:val="false"/>
          <w:smallCaps w:val="false"/>
          <w:sz w:val="20"/>
          <w:bdr w:val="single" w:sz="8" w:space="10" w:color="000000"/>
        </w:rPr>
        <w:t>commencing on page 36.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doing business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face various legal and operational risks and uncertainties related to being based in and having significant operations in Hong Kong and are therefore subject to risks associated with doing business in Hong Kong generally. Risks and uncertainties related to doing business in China could result in a material adverse change in our operations, significantly limit or completely hinder our ability to complete this offering or continue to offer securities to investors and cause the value of such securities to significantly decline or become worthless. Such risks and uncertainties include, but not limited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operate principally in Hong Kong, and adverse economic or other events affecting the region or any significant worsening to the present global economic condition could significantly impact our business. See “</w:t>
      </w:r>
      <w:r>
        <w:rPr>
          <w:rFonts w:ascii="Times New Roman PS Std;serif" w:hAnsi="Times New Roman PS Std;serif"/>
          <w:b w:val="false"/>
          <w:i/>
          <w:caps w:val="false"/>
          <w:smallCaps w:val="false"/>
          <w:sz w:val="20"/>
          <w:bdr w:val="single" w:sz="8" w:space="10" w:color="000000"/>
        </w:rPr>
        <w:t xml:space="preserve">Risk Factors — Risks Related to Doing Business in Hong Kong — We currently operate principally in Hong Kong, and adverse economic or other events affecting the region or any significant worsening to the present global financial condition could significantly impact our business” </w:t>
      </w:r>
      <w:r>
        <w:rPr>
          <w:rFonts w:ascii="Times New Roman PS Std;serif" w:hAnsi="Times New Roman PS Std;serif"/>
          <w:b w:val="false"/>
          <w:i w:val="false"/>
          <w:caps w:val="false"/>
          <w:smallCaps w:val="false"/>
          <w:sz w:val="20"/>
          <w:bdr w:val="single" w:sz="8" w:space="10" w:color="000000"/>
        </w:rPr>
        <w:t>commencing on page 38</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See “</w:t>
      </w:r>
      <w:r>
        <w:rPr>
          <w:rFonts w:ascii="Times New Roman PS Std;serif" w:hAnsi="Times New Roman PS Std;serif"/>
          <w:b w:val="false"/>
          <w:i/>
          <w:caps w:val="false"/>
          <w:smallCaps w:val="false"/>
          <w:sz w:val="20"/>
          <w:bdr w:val="single" w:sz="8" w:space="10" w:color="000000"/>
        </w:rPr>
        <w:t xml:space="preserve">Risk Factors — Risks Related to Doing Business in Hong Kong — 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w:t>
      </w:r>
      <w:r>
        <w:rPr>
          <w:rFonts w:ascii="Times New Roman PS Std;serif" w:hAnsi="Times New Roman PS Std;serif"/>
          <w:b w:val="false"/>
          <w:i w:val="false"/>
          <w:caps w:val="false"/>
          <w:smallCaps w:val="false"/>
          <w:sz w:val="20"/>
          <w:bdr w:val="single" w:sz="8" w:space="10" w:color="000000"/>
        </w:rPr>
        <w:t>commencing on page 39</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enactment of the law of the PRC on Safeguarding National Security in the Hong Kong Special Administrative Region (the “Hong Kong National Security Law”) could impact our Hong Kong Subsidiaries, which may affect a substantial part of our business. See “</w:t>
      </w:r>
      <w:r>
        <w:rPr>
          <w:rFonts w:ascii="Times New Roman PS Std;serif" w:hAnsi="Times New Roman PS Std;serif"/>
          <w:b w:val="false"/>
          <w:i/>
          <w:caps w:val="false"/>
          <w:smallCaps w:val="false"/>
          <w:sz w:val="20"/>
          <w:bdr w:val="single" w:sz="8" w:space="10" w:color="000000"/>
        </w:rPr>
        <w:t xml:space="preserve">Risk Factors — Risks Related to Doing Business in Hong Kong — The enactment of the law of the PRC on Safeguarding National Security in the Hong Kong Special Administrative Region (the “Hong Kong National Security Law”) could impact our subsidiaries in Hong Kong, which may affect a substantial part of our business” </w:t>
      </w:r>
      <w:r>
        <w:rPr>
          <w:rFonts w:ascii="Times New Roman PS Std;serif" w:hAnsi="Times New Roman PS Std;serif"/>
          <w:b w:val="false"/>
          <w:i w:val="false"/>
          <w:caps w:val="false"/>
          <w:smallCaps w:val="false"/>
          <w:sz w:val="20"/>
          <w:bdr w:val="single" w:sz="8" w:space="10" w:color="000000"/>
        </w:rPr>
        <w:t>commencing on page 39</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Chinese government may exercise significant oversight and discretion over the conduct of our Hong Kong Subsidiaries’ business and may intervene in or influence their operations at any time, which could result in a material change in their operations and/or the value of Intercont’s Class A Ordinary Shares. See “</w:t>
      </w:r>
      <w:r>
        <w:rPr>
          <w:rFonts w:ascii="Times New Roman PS Std;serif" w:hAnsi="Times New Roman PS Std;serif"/>
          <w:b w:val="false"/>
          <w:i/>
          <w:caps w:val="false"/>
          <w:smallCaps w:val="false"/>
          <w:sz w:val="20"/>
          <w:bdr w:val="single" w:sz="8" w:space="10" w:color="000000"/>
        </w:rPr>
        <w:t xml:space="preserve">Risk Factors — Risks Related to Doing Business in Hong Kong — 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 </w:t>
      </w:r>
      <w:r>
        <w:rPr>
          <w:rFonts w:ascii="Times New Roman PS Std;serif" w:hAnsi="Times New Roman PS Std;serif"/>
          <w:b w:val="false"/>
          <w:i w:val="false"/>
          <w:caps w:val="false"/>
          <w:smallCaps w:val="false"/>
          <w:sz w:val="20"/>
          <w:bdr w:val="single" w:sz="8" w:space="10" w:color="000000"/>
        </w:rPr>
        <w:t>commencing on page 40</w:t>
      </w:r>
      <w:r>
        <w:rPr>
          <w:rFonts w:ascii="Times New Roman PS Std;serif" w:hAnsi="Times New Roman PS Std;serif"/>
          <w:b w:val="false"/>
          <w:i/>
          <w:caps w:val="false"/>
          <w:smallCaps w:val="false"/>
          <w:sz w:val="20"/>
          <w:bdr w:val="single" w:sz="8" w:space="10" w:color="00000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Intercont’s Class A Ordinary Shares and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to the risks described above, we are subject to the following risks relating to Intercont’s Class A Ordinary Shares and this offering, including, but not limited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assumed offering price of $0.79 per Class A Ordinary Share constitutes a significant discount to the current market price of our Class A Ordinary Shares, our Class A Ordinary Share price may suffer immediate decline and existing shareholders may suffer significant dilution after completion of this offering. See “</w:t>
      </w:r>
      <w:r>
        <w:rPr>
          <w:rFonts w:ascii="Times New Roman PS Std;serif" w:hAnsi="Times New Roman PS Std;serif"/>
          <w:b w:val="false"/>
          <w:i/>
          <w:caps w:val="false"/>
          <w:smallCaps w:val="false"/>
          <w:sz w:val="20"/>
          <w:bdr w:val="single" w:sz="8" w:space="10" w:color="000000"/>
        </w:rPr>
        <w:t>Risk Factors — Risks Related to Intercont’s Class A Ordinary Shares and this Offering — Our assumed offering price of $0.79 per Class A Ordinary Share constitutes a significant discount to the current market price of our Class A Ordinary Shares, our Class A Ordinary Share price may suffer immediate decline and existing shareholders may suffer significant dilution after completion of this offering</w:t>
      </w:r>
      <w:r>
        <w:rPr>
          <w:rFonts w:ascii="Times New Roman PS Std;serif" w:hAnsi="Times New Roman PS Std;serif"/>
          <w:b w:val="false"/>
          <w:i w:val="false"/>
          <w:caps w:val="false"/>
          <w:smallCaps w:val="false"/>
          <w:sz w:val="20"/>
          <w:bdr w:val="single" w:sz="8" w:space="10" w:color="000000"/>
        </w:rPr>
        <w:t>” commencing on page 43.</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 </w:t>
      </w:r>
      <w:r>
        <w:rPr>
          <w:rFonts w:ascii="Times New Roman PS Std;serif" w:hAnsi="Times New Roman PS Std;serif"/>
          <w:b w:val="false"/>
          <w:i w:val="false"/>
          <w:caps w:val="false"/>
          <w:smallCaps w:val="false"/>
          <w:sz w:val="20"/>
          <w:bdr w:val="single" w:sz="8" w:space="10" w:color="000000"/>
        </w:rPr>
        <w:t>commencing on page 44</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See “</w:t>
      </w:r>
      <w:r>
        <w:rPr>
          <w:rFonts w:ascii="Times New Roman PS Std;serif" w:hAnsi="Times New Roman PS Std;serif"/>
          <w:b w:val="false"/>
          <w:i/>
          <w:caps w:val="false"/>
          <w:smallCaps w:val="false"/>
          <w:sz w:val="20"/>
          <w:bdr w:val="single" w:sz="8" w:space="10" w:color="000000"/>
        </w:rPr>
        <w:t>Risk 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caps w:val="false"/>
          <w:smallCaps w:val="false"/>
          <w:sz w:val="20"/>
          <w:bdr w:val="single" w:sz="8" w:space="10" w:color="000000"/>
        </w:rPr>
        <w:t>22, 2021, the U.S. Senate passed the Accelerating Holding Foreign Companies Accountable Act, which was signed into law on December</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caps w:val="false"/>
          <w:smallCaps w:val="false"/>
          <w:sz w:val="20"/>
          <w:bdr w:val="single" w:sz="8" w:space="10" w:color="000000"/>
        </w:rPr>
        <w:t xml:space="preserve">29, 2022, amending the HFCAA to require the SEC to prohibit an issuer’s securities from trading on any U.S. stock exchanges if its auditor is not subject to PCAOB inspections for two consecutive years instead of three” </w:t>
      </w:r>
      <w:r>
        <w:rPr>
          <w:rFonts w:ascii="Times New Roman PS Std;serif" w:hAnsi="Times New Roman PS Std;serif"/>
          <w:b w:val="false"/>
          <w:i w:val="false"/>
          <w:caps w:val="false"/>
          <w:smallCaps w:val="false"/>
          <w:sz w:val="20"/>
          <w:bdr w:val="single" w:sz="8" w:space="10" w:color="000000"/>
        </w:rPr>
        <w:t>commencing on page 47.</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 </w:t>
      </w:r>
      <w:r>
        <w:rPr>
          <w:rFonts w:ascii="Times New Roman PS Std;serif" w:hAnsi="Times New Roman PS Std;serif"/>
          <w:b w:val="false"/>
          <w:i w:val="false"/>
          <w:caps w:val="false"/>
          <w:smallCaps w:val="false"/>
          <w:sz w:val="20"/>
          <w:bdr w:val="single" w:sz="8" w:space="10" w:color="000000"/>
        </w:rPr>
        <w:t>commencing on page 48.</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w:t>
      </w:r>
      <w:r>
        <w:rPr>
          <w:rFonts w:ascii="Times New Roman PS Std;serif" w:hAnsi="Times New Roman PS Std;serif"/>
          <w:b w:val="false"/>
          <w:i/>
          <w:caps w:val="false"/>
          <w:smallCaps w:val="false"/>
          <w:sz w:val="20"/>
          <w:bdr w:val="single" w:sz="8" w:space="10" w:color="000000"/>
        </w:rPr>
        <w:t>Class A</w:t>
      </w:r>
      <w:r>
        <w:rPr>
          <w:rFonts w:ascii="Times New Roman PS Std;serif" w:hAnsi="Times New Roman PS Std;serif"/>
          <w:b w:val="false"/>
          <w:i w:val="false"/>
          <w:caps w:val="false"/>
          <w:smallCaps w:val="false"/>
          <w:sz w:val="20"/>
          <w:bdr w:val="single" w:sz="8" w:space="10" w:color="000000"/>
        </w:rPr>
        <w:t xml:space="preserve"> Ordinary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Class A Ordinary Shares” </w:t>
      </w:r>
      <w:r>
        <w:rPr>
          <w:rFonts w:ascii="Times New Roman PS Std;serif" w:hAnsi="Times New Roman PS Std;serif"/>
          <w:b w:val="false"/>
          <w:i w:val="false"/>
          <w:caps w:val="false"/>
          <w:smallCaps w:val="false"/>
          <w:sz w:val="20"/>
          <w:bdr w:val="single" w:sz="8" w:space="10" w:color="000000"/>
        </w:rPr>
        <w:t>commencing on page 49</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Certain existing shareholders have control over our Company and their interests may not be aligned with the interests of our other shareholders.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Certain existing shareholders have control over our Company and their interests may not be aligned with the interests of our other shareholders.” </w:t>
      </w:r>
      <w:r>
        <w:rPr>
          <w:rFonts w:ascii="Times New Roman PS Std;serif" w:hAnsi="Times New Roman PS Std;serif"/>
          <w:b w:val="false"/>
          <w:i w:val="false"/>
          <w:caps w:val="false"/>
          <w:smallCaps w:val="false"/>
          <w:sz w:val="20"/>
          <w:bdr w:val="single" w:sz="8" w:space="10" w:color="000000"/>
        </w:rPr>
        <w:t>commencing on page 49</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Shareholders will suffer substantial dilution and the Company will not receive any proceeds if the holders of the Warrants elect to exercise such Warrants using the zero exercise price option.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Shareholders will suffer substantial dilution and the Company will not receive any proceeds if the holders of the Warrants elect to exercise such Warrants using the zero exercise price option” </w:t>
      </w:r>
      <w:r>
        <w:rPr>
          <w:rFonts w:ascii="Times New Roman PS Std;serif" w:hAnsi="Times New Roman PS Std;serif"/>
          <w:b w:val="false"/>
          <w:i w:val="false"/>
          <w:caps w:val="false"/>
          <w:smallCaps w:val="false"/>
          <w:sz w:val="20"/>
          <w:bdr w:val="single" w:sz="8" w:space="10" w:color="000000"/>
        </w:rPr>
        <w:t>commencing on page 50.</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cannot continue to satisfy the continued listing requirements and other rules of the Nasdaq Capital Market, our securities may be delisted, which could negatively impact the price of our securities and your ability to sell them.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If we cannot continue to satisfy the continued listing requirements and other rules of the Nasdaq Capital Market, our securities may be delisted, which could negatively impact the price of our securities and your ability to sell them” </w:t>
      </w:r>
      <w:r>
        <w:rPr>
          <w:rFonts w:ascii="Times New Roman PS Std;serif" w:hAnsi="Times New Roman PS Std;serif"/>
          <w:b w:val="false"/>
          <w:i w:val="false"/>
          <w:caps w:val="false"/>
          <w:smallCaps w:val="false"/>
          <w:sz w:val="20"/>
          <w:bdr w:val="single" w:sz="8" w:space="10" w:color="000000"/>
        </w:rPr>
        <w:t>commencing on page 51.</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This is a best efforts offering, no minimum number or dollar amount of securities is required to be sold, and we may not raise the amount of capital we believe is required for our business plans.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This is a best efforts offering, no minimum number or dollar amount of securities is required to be sold, and we may not raise the amount of capital we believe is required for our business plans.” </w:t>
      </w:r>
      <w:r>
        <w:rPr>
          <w:rFonts w:ascii="Times New Roman PS Std;serif" w:hAnsi="Times New Roman PS Std;serif"/>
          <w:b w:val="false"/>
          <w:i w:val="false"/>
          <w:caps w:val="false"/>
          <w:smallCaps w:val="false"/>
          <w:sz w:val="20"/>
          <w:bdr w:val="single" w:sz="8" w:space="10" w:color="000000"/>
        </w:rPr>
        <w:t>commencing on page 51.</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You may experience future dilution as a result of future equity offerings or acquisitions.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You may experience future dilution as a result of future equity offerings or acquisitions” </w:t>
      </w:r>
      <w:r>
        <w:rPr>
          <w:rFonts w:ascii="Times New Roman PS Std;serif" w:hAnsi="Times New Roman PS Std;serif"/>
          <w:b w:val="false"/>
          <w:i w:val="false"/>
          <w:caps w:val="false"/>
          <w:smallCaps w:val="false"/>
          <w:sz w:val="20"/>
          <w:bdr w:val="single" w:sz="8" w:space="10" w:color="000000"/>
        </w:rPr>
        <w:t>commencing on page 52.</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holders of the Warrants elect to exercise such warrants using the cashless exercise option, we may not receive any meaningful amount of additional funds upon the exercise of the Warrant. See “</w:t>
      </w:r>
      <w:r>
        <w:rPr>
          <w:rFonts w:ascii="Times New Roman PS Std;serif" w:hAnsi="Times New Roman PS Std;serif"/>
          <w:b w:val="false"/>
          <w:i/>
          <w:caps w:val="false"/>
          <w:smallCaps w:val="false"/>
          <w:sz w:val="20"/>
          <w:bdr w:val="single" w:sz="8" w:space="10" w:color="000000"/>
        </w:rPr>
        <w:t>Risk Factors — Risks Related to Intercont’s Class A Ordinary Shares and this Offering — If the holders of the Warrants elect to exercise such warrants using the cashless exercise option, we may not receive any meaningful amount of additional funds upon the exercise of the Warrant.” commencing on page 54.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Company with a Holding Company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a holding company incorporated in the Cayman Islands. As a holding company with no material operations, Intercont conducts all of its operations through its subsidiaries in Hong Kong and Singapore. Because of our corporate structure as a Cayman Islands holding company with operations conducted through our subsidiaries in Asia, it involves unique risks to investors. Investors in our Intercont’s Class A Ordinary Shares should be aware that they will not and may never directly hold equity interests in the operating subsidiaries, but rather purchasing equity solely in Intercont, the Cayman Islands holding company. Furthermore, shareholders may face difficulties enforcing their legal rights under United States securities laws against Intercont’s directors and officers who are located outside of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Cash and Asset Flows through Our 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date of this prospectus, we conduct all of our revenue-generating operation activities through our wholly owned subsidiaries in Hong Kong. As a result, all of our revenues are received by our Hong Kong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date of this prospectus, none of the Hong Kong Subsidiaries has made any dividend payment or distribution to Intercont and Intercont has not made any dividends or distributions to its shareholders. During the year ended June 30, 2025, no dividend declaration or payment occurred. During the year ended June 30, 2024, the Group’s Hong Kong Subsidiaries declared and paid in aggregated of $11.8 million dividends to their original shareholders. During the year ended June 30, 2023, the Group’s Hong Kong Subsidiaries declared and paid in aggregated of $3.8 million dividends to their original shareholders. During the six months ended December 31, 2025 and 2024, no dividend declaration or payment occurred. As of the date of this prospectus, no cash generated from one subsidiary is used to fund another subsidiary’s operations and we do not anticipate any difficulties or limitations on our ability to transfer cash between subsidiaries. Other than discussed above, we do not have any cash management policies that dictate the amount of such funding among our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Cash may be transferred among Intercont and its subsidiaries, and they may lend to and borrow from each other from time to time for business operation purposes. For the years ended June 30, 2025, 2024 and 2023, inter-company cash transfers among Intercont and its subsidiaries amounted to $50,000, $50,000 and $nil, respectively. For the six months ended December 31, 2025 and 2024, inter-company cash transfers among Intercont and its subsidiaries amounted to $84,337 and $50,000, respectively. No transfers of other assets have occurred among Intercont and its subsidiaries.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Permissions and Licenses for Our Operations in Hong Kong and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spite of the recent developments in the PRC authorities’ regulatory acts, including the CSRC’s promulgation of the Trial Measures on February 17, 2023, the CSRC, Ministry of Finance, and National Administration of State Secrets Protection, and National Archives Administration of China’s joint issuance of the Provisions on Strengthening the Confidentiality and Archive Management Work Relating to the Overseas Securities Offering and Listing by Domestic Enterprises on February 24, 2023, and the CAC’s promulgation of the Measures on Security Assessment of Outbound Data Transfer on July 7, 2022, we do not believe we are subject to such regulations. We have no business operations in nor material connections with the mainland of China. The offering of Intercont’s Class A Ordinary Shares will likely not be regarded as an indirect overseas offering by PRC domestic companies under the Trial Measures and no filing procedures required thereunder will be applicable. We are not required to obtain regulatory filings or approvals issued by competent industry authorities of the mainland of China. In addition, we do not believe the offering of Intercont’s Class A Ordinary Shares requires any approval from or filing with any other authorities of the mainland of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But due to the risk of change to current political arrangements between mainland China and Hong Kong, there are risks and uncertainties which we cannot foresee, and rules and regulations in the PRC can change quickly with little or no advance notice. There are risks that the PRC government may intervene or influence our current and future operations in Hong Kong at any time, or may exert more control over offerings conducted overseas and/or foreign investment in issuers likes ourselves. The PRC government has significant authority to intervene or influence the mainland of China or Hong Kong operations of an offshore holding company, such as ours, at any time. If it is determined in the future that the approval or permissions of the CSRC, the CAC or any other regulatory authority is required for the business operations and this offering and we do not receive or maintain the approvals or permissions, or we inadvertently conclude that such approvals or permissions are not required, or applicable laws, regulations, or interpretations change such that we are required to obtain approvals or permissions in the future,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Holding Foreign Companies Accountable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Pursuant to the HFCAA and related regulations, if we have filed an audit report issued by a registered public accounting firm that the PCAOB has determined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On December 16, 2021, the PCAOB issued a report to notify the SEC of its determination that the PCAOB was unable to inspect or investigate completely registered public accounting firms headquartered in mainland China and Hong Kong. Our former auditor, UHY, is an independent registered public accounting firm that is headquartered in New York, New York. UHY has been inspected by the PCAOB on a regular basis and is not among such accounting firms. Our current auditor, Assentsure, is an independent registered public accounting firm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that is headquartered in Singapore, Singapore and is not among such accounting firms.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December 15, 2022, the PCAOB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outside of our and our auditor’s control. The PCAOB continues to demand complete access in mainland China and Hong Kong moving forward and pursue ongoing investigations and initiate new investigations as needed. The PCAOB has also indicated that it will act immediately to consider the need to issue new determinations with the HFCAA if needed.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the risk and uncertainty associated with delisting would have a negative impact on the price of Intercont’s Class A Ordinary Shares. For details,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w:t>
      </w:r>
      <w:r>
        <w:rPr>
          <w:rFonts w:ascii="Times New Roman PS Std;serif" w:hAnsi="Times New Roman PS Std;serif"/>
          <w:b w:val="false"/>
          <w:i w:val="false"/>
          <w:caps w:val="false"/>
          <w:smallCaps w:val="false"/>
          <w:sz w:val="20"/>
          <w:bdr w:val="single" w:sz="8" w:space="10" w:color="000000"/>
        </w:rPr>
        <w:t>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commencing on page 47.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Dividend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or share premium,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has never declared or paid cash dividends and does not have any present plan to pay any cash dividends on its Ordinary Shares in the foreseeable future after this offering. During the year ended June 30, 2023, the Group’s subsidiaries declared and paid in aggregated of $3.8 million dividends to their original shareholder controlled by the major shareholders and the Group’s subsidiaries subsequently declared and paid in aggregated of $11.8 million dividends to their original shareholder controlled by the major shareholders by March 12, 2024. We currently intend to retain most, if not all, of our available funds and any future earnings to operate and grow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Intercont is an “emerging growth company”, as defined in the “JOBS Act”, and it is eligible to take advantage of certain exemptions from various reporting and financial disclosure requirements that are applicable to other public companies that are not emerging growth companies, including, but not limited to, (1) presenting only two years of audited financial statements and only two years of related management discussion and analysis of financial conditions and results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 non-binding advisory vote on executive compensation and shareholder approval of any golden parachute payments not previously approved. We intend to take advantage of these exemptions. As a result, investors may find investing in Intercont’s Class A Ordinary Shares less attractive.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Section 107 of the JOBS Act also provides that an emerging growth company can take advantage of the extended transition period provided in Section 7(a)(2)(B) of the Securities Act, for complying with new or revised accounting standards. As a result, an emerging growth company can delay the adoption of certain accounting standards until those standards would otherwise apply to private companies. We intend to take advantage of such extended transition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could remain an emerging growth company for up to five years, or until the earliest of (1) the last day of the first fiscal year in which its annual gross revenues exceed $1.235 billion, (2) the date that Intercont becomes a “large accelerated filer” as defined in Rule 12b-2 under the Exchange Act, which would occur if the market value of Intercont’s Class A Ordinary Shares that is held by non-affiliates exceeds $700 million as of the last business day of its most recently completed second fiscal quarter and Intercont has been publicly reporting for at least 12 months, or (3) the date on which Intercont has issued more than $1 billion in non-convertible debt during the preceding three-year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a “foreign private issuer” within the meaning of the rules under the Exchange Act. Accordingly, Intercont is subject to the period reporting and other informational requirements under the Exchange Act as a non-U.S. company with foreign private issuer status. As such, Intercont is exempt from certain provisions of the Exchange Act that are applicable to U.S. domestic public companies, including:</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is not required to provide as many Exchange Act reports, or as frequently, as a domestic public company;</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for interim reporting, Intercont is permitted to comply with its home country requirements, which are less rigorous than the rules that apply to domestic public companies;</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is not required to provide the same level of disclosure on certain issues, such as executive compensation;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is exempt from provisions of Regulation FD aimed at preventing issuers from making selective disclosures of material information;</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is not required to comply with the sections of the Exchange Act regulating the solicitation of proxies, consents or authorizations in respect of a security registered under the Exchange Act; and</w:t>
      </w:r>
    </w:p>
    <w:p>
      <w:pPr>
        <w:pStyle w:val="TextBody"/>
        <w:keepNext w:val="false"/>
        <w:pageBreakBefore w:val="false"/>
        <w:widowControl/>
        <w:pBdr/>
        <w:bidi w:val="0"/>
        <w:spacing w:before="14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Intercont’s insiders are not required to comply with Section 16 of the Exchange Act requiring such individuals and entities to file public reports of their share ownership and trading activities and establishing insider liability for profits realized from any “short-swing” trading transaction. On December 18, 2025, the U.S. President signed into law the Holding Foreign Insiders Accountable Act (HFIAA), which eliminates the exemption to comply with Section 16 of the Exchange Act. The new law has taken effect on March 18, 2026. Directors and officers of foreign private issuers are required to publicly report their ownership in, and transactions involving, the applicable foreign private issuer’s securities to the SEC on Forms 3, 4, and 5.</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Nasdaq Rule 5615(a)(3) provides that a foreign private issuer, such as Intercont, may rely on its home country corporate governance practices in lieu of certain of the rules in Nasdaq Rule 5600 Series and Rule 5250(d), provided that Intercont nevertheless complies with Nasdaq’s Notification of Noncompliance requirement (Rule 5625), the Voting Rights requirement (Rule 5640), the Diverse Board Representation Rule (Rule 5605(f)), the Board Diversity Disclosure Rule (Rule 5606) and that Intercont has an audit committee that satisfies Rule 5605(c)(3), consisting of committee members that meet the independence requirements of Rule 5605(c)(2)(A)(ii). Intercont relies on its home country corporate governance practices in lieu of certain of the rules of Nasdaq, and as a result, Intercont’s shareholders do not have the same protections afforded to shareholders of companies that are subject to all of the corporate governance requirements of Nasdaq.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required to file an annual report on Form 20-F within four months of the end of each fiscal year. As a foreign private issuer, Intercont is not generally required to provide quarterly financial information to the shareholders. Additionally, Intercont is required to file an interim balance sheet and income statement as of the end of our second quarter. These interim financial statements are not required to reconcile to US GAAP, but they must be provided no later than 6 months following the end of Intercont’s second quarter. Press releases relating to financial results and material events will also be furnished to the SEC on Form 6-K. However, the information Intercont is required to file with or furnish to the SEC will be less extensive and less timely than that required to be filed with the SEC by U.S. domestic issuers. A foreign private issuer that follows a home country practice in lieu of one or more of the listing rules is required to disclose in its annual reports filed with the SEC each requirement that it does not follow and describe the home country practice followed by the issuer in lieu of such requirements. Intercont relies on its home country corporate governance practices in lieu of certain of the rules of Nasdaq, and as a result, its shareholders may not have the same protections afforded to shareholders of companies that are subject to all of the corporate governance requirements of Nasdaq. In addition, Intercont may utilize these exemptions for as long as it continues to qualify as a foreign private issuer.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Being a foreign private issuer and an emerging growth company also exempts Intercont from certain more stringent executive compensation disclosure rules. Thus, even if Intercont no longer qualifies as an emerging growth company but remains a foreign private issuer, it will continue to be exempt from the more stringent compensation disclosures required of companies that are neither emerging growth companies nor foreign private issuers.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offices are located at 39 OCEAN DRIVE, SINGAPORE, Singapore, 098187. Our registered address is located at ICS Corporate Services (Cayman) Limited, Palm Grove Unit 4, 265 Smith Road, George Town, P.O. Box 52A Edgewater Way, #1653, Grand Cayman KY1-9006,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agent for service of process in the United States is Cogency Global Inc., located at 122 East 42nd Street, 18th Floor, New York, New York 10168.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Investors should contact us for any inquiries through the address and telephone number of our principal executive office. Our principal website is </w:t>
      </w:r>
      <w:r>
        <w:rPr>
          <w:rFonts w:ascii="Times New Roman PS Std;serif" w:hAnsi="Times New Roman PS Std;serif"/>
          <w:b w:val="false"/>
          <w:i/>
          <w:caps w:val="false"/>
          <w:smallCaps w:val="false"/>
          <w:sz w:val="20"/>
          <w:bdr w:val="single" w:sz="8" w:space="10" w:color="000000"/>
        </w:rPr>
        <w:t>https://www.intercontcayman.com</w:t>
      </w:r>
      <w:r>
        <w:rPr>
          <w:rFonts w:ascii="Times New Roman PS Std;serif" w:hAnsi="Times New Roman PS Std;serif"/>
          <w:b w:val="false"/>
          <w:i w:val="false"/>
          <w:caps w:val="false"/>
          <w:smallCaps w:val="false"/>
          <w:sz w:val="20"/>
          <w:bdr w:val="single" w:sz="8" w:space="10" w:color="000000"/>
        </w:rPr>
        <w:t>. The information contained on our website is not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Legal Proceedings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date hereof, to our knowledge, none of Intercont or its subsidiaries is currently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Conventions That Apply to This Prospectus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Unless otherwise indicated, all numbers and financial information are presented in U.S. Dollars.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Exchange Act” refers to the Securities Exchange Act of 1934, as amended.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Hong Kong” or “HK” refers to the Hong Kong Special Administrative Region of the People’s Republic of China.</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HKD”, “HK$” or “H.K. Dollars” refers to the official legal currency of Hong Kong.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 xml:space="preserve">PRC” or “China” refers to the People’s Republic of China, including Hong Kong Special Administrative Region (“Hong Kong”), Macau Special Administrative Region (“Macau”) and Taiwan, for purposes of this prospectus only; and in the future filings of the Company’s registration statements under the Securities Act of 1933, as amended, or its periodic reports under the Securities Exchange Act of 1934, as amended, the definition of China or PRC will include Hong Kong, Macau or Taiwan. And only in the context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describing PRC laws, the PRC laws do not include any law, regulation, statute, rule, order, decree, notice, and supreme court’s judicial interpretation or other legislation of the Hong Kong Special Administrative Region, the Macau Special Administrative Region or Taiwan.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Securities Act” refers to the Securities Act of 1933, as amended.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 “USD”,“US$” or “U.S. Dollars” refers to the official legal currency of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reporting currency is U.S. dollars. Although our operations may expose us to certain levels of foreign currency risk, our transactions are predominantly denominated in U.S. dollar and a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statements of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Internet site addresses in this prospectus are included for reference only and the information contained in any website, including our website, is not incorporated by reference into, and does not form part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 w:name="T22"/>
      <w:bookmarkEnd w:id="2"/>
      <w:r>
        <w:rPr>
          <w:rFonts w:ascii="Times New Roman PS Std;serif" w:hAnsi="Times New Roman PS Std;serif"/>
          <w:b/>
          <w:i w:val="false"/>
          <w:caps w:val="false"/>
          <w:smallCaps w:val="false"/>
          <w:sz w:val="20"/>
          <w:bdr w:val="single" w:sz="8" w:space="10" w:color="000000"/>
        </w:rPr>
        <w:t xml:space="preserve">THE OFFERING </w:t>
      </w:r>
    </w:p>
    <w:tbl>
      <w:tblPr>
        <w:tblW w:w="10205" w:type="dxa"/>
        <w:jc w:val="left"/>
        <w:tblInd w:w="0" w:type="dxa"/>
        <w:tblLayout w:type="fixed"/>
        <w:tblCellMar>
          <w:top w:w="0" w:type="dxa"/>
          <w:left w:w="0" w:type="dxa"/>
          <w:bottom w:w="0" w:type="dxa"/>
          <w:right w:w="0" w:type="dxa"/>
        </w:tblCellMar>
      </w:tblPr>
      <w:tblGrid>
        <w:gridCol w:w="1876"/>
        <w:gridCol w:w="146"/>
        <w:gridCol w:w="8183"/>
      </w:tblGrid>
      <w:tr>
        <w:trPr/>
        <w:tc>
          <w:tcPr>
            <w:tcW w:w="187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Units offered by us</w:t>
            </w:r>
          </w:p>
        </w:tc>
        <w:tc>
          <w:tcPr>
            <w:tcW w:w="146" w:type="dxa"/>
            <w:tcBorders/>
          </w:tcPr>
          <w:p>
            <w:pPr>
              <w:pStyle w:val="TableContents"/>
              <w:bidi w:val="0"/>
              <w:spacing w:before="0" w:after="283"/>
              <w:jc w:val="left"/>
              <w:rPr/>
            </w:pPr>
            <w:r>
              <w:rPr/>
              <w:t> </w:t>
            </w:r>
          </w:p>
        </w:tc>
        <w:tc>
          <w:tcPr>
            <w:tcW w:w="818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8,000,000 Units, based on the assumed public offering price of $0.79 per Unit, with each unit consisting of one Class A Ordinary Share and one Warrant.</w:t>
            </w:r>
          </w:p>
        </w:tc>
      </w:tr>
      <w:tr>
        <w:trPr/>
        <w:tc>
          <w:tcPr>
            <w:tcW w:w="187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offered by us</w:t>
            </w:r>
          </w:p>
        </w:tc>
        <w:tc>
          <w:tcPr>
            <w:tcW w:w="146" w:type="dxa"/>
            <w:tcBorders/>
          </w:tcPr>
          <w:p>
            <w:pPr>
              <w:pStyle w:val="TableContents"/>
              <w:bidi w:val="0"/>
              <w:spacing w:before="0" w:after="283"/>
              <w:jc w:val="left"/>
              <w:rPr/>
            </w:pPr>
            <w:r>
              <w:rPr/>
              <w:t> </w:t>
            </w:r>
          </w:p>
        </w:tc>
        <w:tc>
          <w:tcPr>
            <w:tcW w:w="81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8,000,000 Class A Ordinary Shares included in the Units, and up to 16,000,000 Class A Ordinary Shares issuable upon exercise of the Warrants at a zero exercise price</w:t>
            </w:r>
          </w:p>
        </w:tc>
      </w:tr>
      <w:tr>
        <w:trPr/>
        <w:tc>
          <w:tcPr>
            <w:tcW w:w="187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 offered by us</w:t>
            </w:r>
          </w:p>
        </w:tc>
        <w:tc>
          <w:tcPr>
            <w:tcW w:w="146" w:type="dxa"/>
            <w:tcBorders/>
          </w:tcPr>
          <w:p>
            <w:pPr>
              <w:pStyle w:val="TableContents"/>
              <w:bidi w:val="0"/>
              <w:spacing w:before="0" w:after="283"/>
              <w:jc w:val="left"/>
              <w:rPr/>
            </w:pPr>
            <w:r>
              <w:rPr/>
              <w:t> </w:t>
            </w:r>
          </w:p>
        </w:tc>
        <w:tc>
          <w:tcPr>
            <w:tcW w:w="81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8,000,000 Warrants.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will become exercisable beginning on the Initial Exercise Date at an assumed initial exercise price of $0.869. A holder of the Warrants may also effect the zero exercise price option at any time while the Warrants are outstanding. Under the zero exercise price option, the holder of the Warrants, has the right to receive the number of Class A Ordinary Shares as set forth in the applicable Warrant, which will be more than such number of Class A Ordinary Shares that is issuable upon cash exercise or cashless exercise. The Warrants will expire on the six month period of the Initial Exercise Date. See “</w:t>
            </w:r>
            <w:r>
              <w:rPr>
                <w:rFonts w:ascii="Times New Roman PS Std;serif" w:hAnsi="Times New Roman PS Std;serif"/>
                <w:b w:val="false"/>
                <w:i/>
                <w:caps w:val="false"/>
                <w:smallCaps w:val="false"/>
                <w:sz w:val="20"/>
              </w:rPr>
              <w:t>Description of Securities — Warrants</w:t>
            </w:r>
            <w:r>
              <w:rPr>
                <w:rFonts w:ascii="Times New Roman PS Std;serif" w:hAnsi="Times New Roman PS Std;serif"/>
                <w:b w:val="false"/>
                <w:i w:val="false"/>
                <w:caps w:val="false"/>
                <w:smallCaps w:val="false"/>
                <w:sz w:val="20"/>
              </w:rPr>
              <w: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registering the issuance of up to 16,000,000 Class A Ordinary Shares underlying the Warrants</w:t>
            </w:r>
          </w:p>
        </w:tc>
      </w:tr>
      <w:tr>
        <w:trPr/>
        <w:tc>
          <w:tcPr>
            <w:tcW w:w="187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 outstanding prior to the offering</w:t>
            </w:r>
          </w:p>
        </w:tc>
        <w:tc>
          <w:tcPr>
            <w:tcW w:w="146" w:type="dxa"/>
            <w:tcBorders/>
          </w:tcPr>
          <w:p>
            <w:pPr>
              <w:pStyle w:val="TableContents"/>
              <w:bidi w:val="0"/>
              <w:spacing w:before="0" w:after="283"/>
              <w:jc w:val="left"/>
              <w:rPr/>
            </w:pPr>
            <w:r>
              <w:rPr/>
              <w:t> </w:t>
            </w:r>
          </w:p>
        </w:tc>
        <w:tc>
          <w:tcPr>
            <w:tcW w:w="81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1,437,740 Class A Ordinary Shares.</w:t>
            </w:r>
          </w:p>
        </w:tc>
      </w:tr>
      <w:tr>
        <w:trPr/>
        <w:tc>
          <w:tcPr>
            <w:tcW w:w="187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 to be outstanding after the offering</w:t>
            </w:r>
          </w:p>
        </w:tc>
        <w:tc>
          <w:tcPr>
            <w:tcW w:w="146" w:type="dxa"/>
            <w:tcBorders/>
          </w:tcPr>
          <w:p>
            <w:pPr>
              <w:pStyle w:val="TableContents"/>
              <w:bidi w:val="0"/>
              <w:spacing w:before="0" w:after="283"/>
              <w:jc w:val="left"/>
              <w:rPr/>
            </w:pPr>
            <w:r>
              <w:rPr/>
              <w:t> </w:t>
            </w:r>
          </w:p>
        </w:tc>
        <w:tc>
          <w:tcPr>
            <w:tcW w:w="81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9,437,740 Class A Ordinary Shares (assuming none of the Warrants issued in this offering are exercised); or 25,437,740 Class A Ordinary Shares (assuming all Warrants issued in this offering are exercised using zero exercise price)</w:t>
            </w:r>
          </w:p>
        </w:tc>
      </w:tr>
      <w:tr>
        <w:trPr/>
        <w:tc>
          <w:tcPr>
            <w:tcW w:w="187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Offering price</w:t>
            </w:r>
          </w:p>
        </w:tc>
        <w:tc>
          <w:tcPr>
            <w:tcW w:w="146" w:type="dxa"/>
            <w:tcBorders/>
          </w:tcPr>
          <w:p>
            <w:pPr>
              <w:pStyle w:val="TableContents"/>
              <w:bidi w:val="0"/>
              <w:spacing w:before="0" w:after="283"/>
              <w:jc w:val="left"/>
              <w:rPr/>
            </w:pPr>
            <w:r>
              <w:rPr/>
              <w:t> </w:t>
            </w:r>
          </w:p>
        </w:tc>
        <w:tc>
          <w:tcPr>
            <w:tcW w:w="81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price at $0.79 per Unit (consisting of one Class A Ordinary Share and one Warrant).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public offering price per Unit in the Offering will be determined by us based on negotiations with the placement agent on behalf of the prospective investors in the Offering.</w:t>
            </w:r>
          </w:p>
        </w:tc>
      </w:tr>
      <w:tr>
        <w:trPr/>
        <w:tc>
          <w:tcPr>
            <w:tcW w:w="187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tc>
        <w:tc>
          <w:tcPr>
            <w:tcW w:w="146" w:type="dxa"/>
            <w:tcBorders/>
          </w:tcPr>
          <w:p>
            <w:pPr>
              <w:pStyle w:val="TableContents"/>
              <w:bidi w:val="0"/>
              <w:spacing w:before="0" w:after="283"/>
              <w:jc w:val="left"/>
              <w:rPr/>
            </w:pPr>
            <w:r>
              <w:rPr/>
              <w:t> </w:t>
            </w:r>
          </w:p>
        </w:tc>
        <w:tc>
          <w:tcPr>
            <w:tcW w:w="81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Ordinary Shares are listed on The Nasdaq Capital Market under the symbol “NCT”.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established public trading market for the Warrants, and we do not intend to list these securities on any national securities exchange or trading system. Without a trading market, the liquidity of the Warrants will be limited.</w:t>
            </w:r>
          </w:p>
        </w:tc>
      </w:tr>
      <w:tr>
        <w:trPr/>
        <w:tc>
          <w:tcPr>
            <w:tcW w:w="187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18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the net proceeds from this offering to us will be approximately $5,670,000, after deducting the estimated placement agent fees and expected offering expenses payable by us, and none of the Warrants issued in this offering are exercised. Even if the Warrants are exercised, we do not expect to receive any proceeds from the exercise of the Warrants because it is highly unlikely that a holder of the Warrants would elect to exercise the Warrants by paying cash or via cashless exercise in lieu of the zero exercise price option.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758"/>
        <w:gridCol w:w="146"/>
        <w:gridCol w:w="8301"/>
      </w:tblGrid>
      <w:tr>
        <w:trPr/>
        <w:tc>
          <w:tcPr>
            <w:tcW w:w="1758"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3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use all of the net proceeds to us from this offering for general working capital purposes and other general corporate purposes. See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beginning on page 57.</w:t>
            </w:r>
          </w:p>
        </w:tc>
      </w:tr>
      <w:tr>
        <w:trPr/>
        <w:tc>
          <w:tcPr>
            <w:tcW w:w="175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3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“Risk Factors” and other information included in this prospectus for a discussion of the risks you should carefully consider before deciding to invest in Intercont’s Class A Ordinary Shares.</w:t>
            </w:r>
          </w:p>
        </w:tc>
      </w:tr>
      <w:tr>
        <w:trPr/>
        <w:tc>
          <w:tcPr>
            <w:tcW w:w="175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register</w:t>
            </w:r>
          </w:p>
        </w:tc>
        <w:tc>
          <w:tcPr>
            <w:tcW w:w="146" w:type="dxa"/>
            <w:tcBorders/>
          </w:tcPr>
          <w:p>
            <w:pPr>
              <w:pStyle w:val="TableContents"/>
              <w:bidi w:val="0"/>
              <w:spacing w:before="0" w:after="283"/>
              <w:jc w:val="left"/>
              <w:rPr/>
            </w:pPr>
            <w:r>
              <w:rPr/>
              <w:t> </w:t>
            </w:r>
          </w:p>
        </w:tc>
        <w:tc>
          <w:tcPr>
            <w:tcW w:w="830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Transhare Corporation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992026"/>
      <w:bookmarkEnd w:id="3"/>
      <w:r>
        <w:rPr>
          <w:rFonts w:ascii="Times New Roman PS Std;serif" w:hAnsi="Times New Roman PS Std;serif"/>
          <w:b/>
          <w:i w:val="false"/>
          <w:caps w:val="false"/>
          <w:smallCaps w:val="false"/>
          <w:sz w:val="20"/>
          <w:bdr w:val="single" w:sz="8" w:space="10" w:color="000000"/>
        </w:rPr>
        <w:t xml:space="preserve">SUMMARY OF COMBINED AND CONSOLIDATED FINANCIAL AND OPERATING DATA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Combined and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summary combined and consolidated statements of operations for the six months ended December 31, 2025 and 2024 and for the years ended June 30, 2025, 2024 and 2023, summary combined and consolidated balance sheets data as of December 31, 2025 and June 30, 2025 and 2024 and summary combined and consolidated cash flows data for the six months ended December 31, 2025 and 2024 and for the years ended June 30, 2025, 2024 and 2023 have been derived from our audited combined and consolidated financial statements included elsewhere in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combined and consolidated financial statements are prepared and presented in accordance with accounting principles generally accepted in the United States of America, or U.S. GAAP. Our historical results are not necessarily indicative of results expected for future periods. Our historical results are not necessarily indicative of results expected for future periods. You should read this Summary Combined and Consolidated Financial Data section together with our combined and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combined and consolidated statements of operations data for the periods indicated:</w:t>
      </w:r>
    </w:p>
    <w:tbl>
      <w:tblPr>
        <w:tblW w:w="9749" w:type="dxa"/>
        <w:jc w:val="left"/>
        <w:tblInd w:w="0" w:type="dxa"/>
        <w:tblLayout w:type="fixed"/>
        <w:tblCellMar>
          <w:top w:w="0" w:type="dxa"/>
          <w:left w:w="0" w:type="dxa"/>
          <w:bottom w:w="0" w:type="dxa"/>
          <w:right w:w="0" w:type="dxa"/>
        </w:tblCellMar>
      </w:tblPr>
      <w:tblGrid>
        <w:gridCol w:w="5506"/>
        <w:gridCol w:w="146"/>
        <w:gridCol w:w="301"/>
        <w:gridCol w:w="1396"/>
        <w:gridCol w:w="256"/>
        <w:gridCol w:w="146"/>
        <w:gridCol w:w="301"/>
        <w:gridCol w:w="1396"/>
        <w:gridCol w:w="301"/>
      </w:tblGrid>
      <w:tr>
        <w:trPr/>
        <w:tc>
          <w:tcPr>
            <w:tcW w:w="55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9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5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9,176,820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9,977,858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third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1,445,122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1,429,265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1,966,321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1,979,244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12,588,263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13,386,367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6,676,992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6,509,744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2,905,329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3,054,356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9,582,321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9,564,100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3,005,942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3,822,267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3,894,427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1,261,906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436,024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4,468,468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1,697,930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(Loss)/income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(1,462,526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2,124,337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(1,192,046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(1,191,971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(39,965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(1,219,863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(1,228,405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5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(Loss)/income before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908"/>
        <w:gridCol w:w="146"/>
        <w:gridCol w:w="301"/>
        <w:gridCol w:w="1396"/>
        <w:gridCol w:w="241"/>
        <w:gridCol w:w="146"/>
        <w:gridCol w:w="301"/>
        <w:gridCol w:w="1396"/>
        <w:gridCol w:w="241"/>
        <w:gridCol w:w="146"/>
        <w:gridCol w:w="301"/>
        <w:gridCol w:w="1396"/>
        <w:gridCol w:w="286"/>
      </w:tblGrid>
      <w:tr>
        <w:trPr/>
        <w:tc>
          <w:tcPr>
            <w:tcW w:w="390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15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3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third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7,332,097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13,043,409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13,999,534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third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1,761,184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1,879,943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4,068,128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4,844,888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25,135,681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25,526,936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32,445,557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12,172,641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12,958,301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13,151,715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5,127,060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5,218,970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4,916,597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17,299,701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18,177,271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18,068,312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7,835,980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7,349,665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14,377,245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2,314,051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621,024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2,935,075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2,270,958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876,437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4,900,905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13,500,808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194,576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(1,911,780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(2,696,117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(2,718,304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(1,796,638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(1,938,639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(2,613,119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combined and consolidated statements of balance sheet data as of December 31, 2025 and June 30, 2025 and 2024:</w:t>
      </w:r>
    </w:p>
    <w:tbl>
      <w:tblPr>
        <w:tblW w:w="6747" w:type="dxa"/>
        <w:jc w:val="left"/>
        <w:tblInd w:w="0" w:type="dxa"/>
        <w:tblLayout w:type="fixed"/>
        <w:tblCellMar>
          <w:top w:w="0" w:type="dxa"/>
          <w:left w:w="0" w:type="dxa"/>
          <w:bottom w:w="0" w:type="dxa"/>
          <w:right w:w="0" w:type="dxa"/>
        </w:tblCellMar>
      </w:tblPr>
      <w:tblGrid>
        <w:gridCol w:w="3016"/>
        <w:gridCol w:w="146"/>
        <w:gridCol w:w="301"/>
        <w:gridCol w:w="1396"/>
        <w:gridCol w:w="146"/>
        <w:gridCol w:w="301"/>
        <w:gridCol w:w="1441"/>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12,649,632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18,375,425</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50,563,449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52,446,956</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63,213,081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28,818,311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34,064,396</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9,809,192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11,929,967</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38,627,503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45,994,363</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24,585,578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24,828,018</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63,213,081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747" w:type="dxa"/>
        <w:jc w:val="left"/>
        <w:tblInd w:w="0" w:type="dxa"/>
        <w:tblLayout w:type="fixed"/>
        <w:tblCellMar>
          <w:top w:w="0" w:type="dxa"/>
          <w:left w:w="0" w:type="dxa"/>
          <w:bottom w:w="0" w:type="dxa"/>
          <w:right w:w="0" w:type="dxa"/>
        </w:tblCellMar>
      </w:tblPr>
      <w:tblGrid>
        <w:gridCol w:w="3016"/>
        <w:gridCol w:w="146"/>
        <w:gridCol w:w="301"/>
        <w:gridCol w:w="1396"/>
        <w:gridCol w:w="146"/>
        <w:gridCol w:w="301"/>
        <w:gridCol w:w="1441"/>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8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18,375,425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5,109,072</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52,446,956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60,038,415</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65,147,487</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34,064,396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35,404,025</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11,929,967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18,810,659</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45,994,363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54,214,684</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24,828,018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10,932,803</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65,147,487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combined and consolidated statements of cash flow data for the periods indicated:</w:t>
      </w:r>
    </w:p>
    <w:tbl>
      <w:tblPr>
        <w:tblW w:w="8849" w:type="dxa"/>
        <w:jc w:val="left"/>
        <w:tblInd w:w="0" w:type="dxa"/>
        <w:tblLayout w:type="fixed"/>
        <w:tblCellMar>
          <w:top w:w="0" w:type="dxa"/>
          <w:left w:w="0" w:type="dxa"/>
          <w:bottom w:w="0" w:type="dxa"/>
          <w:right w:w="0" w:type="dxa"/>
        </w:tblCellMar>
      </w:tblPr>
      <w:tblGrid>
        <w:gridCol w:w="5056"/>
        <w:gridCol w:w="146"/>
        <w:gridCol w:w="286"/>
        <w:gridCol w:w="1201"/>
        <w:gridCol w:w="241"/>
        <w:gridCol w:w="146"/>
        <w:gridCol w:w="286"/>
        <w:gridCol w:w="1201"/>
        <w:gridCol w:w="28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(7,212,036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3,182,157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8,963,561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(546,901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(3,357,613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(1,481,971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4178"/>
        <w:gridCol w:w="146"/>
        <w:gridCol w:w="286"/>
        <w:gridCol w:w="1321"/>
        <w:gridCol w:w="241"/>
        <w:gridCol w:w="146"/>
        <w:gridCol w:w="286"/>
        <w:gridCol w:w="1321"/>
        <w:gridCol w:w="241"/>
        <w:gridCol w:w="146"/>
        <w:gridCol w:w="286"/>
        <w:gridCol w:w="1321"/>
        <w:gridCol w:w="286"/>
      </w:tblGrid>
      <w:tr>
        <w:trPr/>
        <w:tc>
          <w:tcPr>
            <w:tcW w:w="41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8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41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7,401,485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6,477,442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13,569,094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(11,253,967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10,524,341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(23,995,575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5,749,310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(16,666,135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3,411,332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1"/>
      <w:bookmarkEnd w:id="4"/>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 investment in Intercont’s Class A Ordinary Shares involves significant risks. You should carefully consider all of the information in this prospectus, including the risks and uncertainties described below, before making an investment in Intercont’s Class A Ordinary Shares. Any of the following risks could have a material adverse effect on our business, financial condition and results of operations. In any such case, the market price of Intercont’s Class A Ordinary Shares could decline, and you may lose all or part of your investment.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December 31, 2025, the Company had cash and cash equivalents of approximately $4.0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 Taking into account the ability for the Group to raise finances, the management has alleviated the substantial doubt about the Group’s ability to continue as a going concern. While the management believes in the Group’s ability to raise additional funds by issuing debt or equity securities or obtaining a credit facility and the viability of its strategy, there can be no assurances that they will be successful.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Ongoing geopolitical tensions around the world may have a material adverse effect on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participant in the international maritime business, we face risks associated with heightened tensions in geopolitical and economic relations. Rivalries and sanctions between major powers, including the United States and China, terrorist threats, wars and other conflicts involving Ukraine, the Middle East and elsewhere have created increased global uncertainty. Such geopolitical tensions, along with trade disputes and regional conflicts, may result in economic instability, market volatility, and regulatory changes, which could impact our supply chain, operations, and consumer demand.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Recently, the United States has proposed to impose multiple rounds of tariffs on a wide range of goods imported from multiple countries, including China, and China has responded with retaliatory tariffs. Since February 2025, the U.S. administration has proposed to increase the total tariff level for imported Chinese goods to 125% and additional tariff increase could be imposed as the trade tension between the two countries continues to heighten. On April 9, 2025, China has responded by hiking its levies on U.S. imports to 84% from 34%. Additionally, the United States Trade Representative (“USTR”) effected Section 301 Action on China, charging fees on Chinese-built ships and vessel owners and operators of China, which fees would increase over the following years. On October 24, 2025, the USTR also initiated Section 301 investigation of China’s implementation of the Economic and Trade Agreement Between the Government of the United States of America and the Government of the People’s Republic of China (“Phase One Agreement”). USTR will examine whether China has fully implemented its commitments under the Phase One Agreement, the burden or restriction on U.S. commerce resulting from any non-implementation by China of its commitments, and what action, if any, should be taken in response. These measures could significantly decrease the volume of cross border commerce, increase the costs of maritime senders, and thereby cause a material adverse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impact on our business, financial condition, and results of operations. Although the U.S. and China agreed to suspend the additional tariffs imposed in April 2025 starting from May 14, 2025, it remains possible that such tariffs resume or additional tariffs will be imposed in the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tariffs have led to increased trade and political tensions, between the U.S. and China, as well as between the U.S.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Any such geopolitical developments could materially and adversely affect our overall financial performance and prices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such tensions may lead to consumer boycotts, increased security measures, and travel restrictions, all of which could negatively affect the need for international maritime shipping. Any restrictions on international trade and capital flows may have a negative impact on our ability to access capital and expand our operations. As a result, any of these events could have a material adverse effect on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Separately, we may also be subject to review and enforcement under domestic and foreign laws that screen foreign investment and acquisitions. In both the U.S. and non-U.S. jurisdictions, these regulatory requirements may treat companies differently based on the type of company in question and investor profile in the company. As a result of these laws, investments by particular investors may need to be filed with local regulators, which in turn may impose added costs on our business, impact our operations, and/or limit our ability to engage in strategic transactions that might otherwise be beneficial to us and our investors. These laws are also regularly changed and updated. For example, recently the Office of Investment Security of the U.S. Department of the Treasury issued a final rule (the “Outbound Investment Rule”) to implement the Executive Order 14105, which provided for the establishment of a new national security regulatory framework to control outbound investment from the United States in certain sensitive industry sectors in the People’s Republic of China, including Hong Kong and Macau. The Outbound Investment Rule took effect in January 2025 and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Notably, President Trump issued the America First Trade Policy Memorandum on February 20, 2025, which proposes to further expand the set of technologies of concern. These rules may limit our ability to engage in certain kinds of business operations; they may also limit our ability to raise capital from U.S. and other sources if we engage in the development of such technologies of concern. Continuing changes in both U.S. and non-U.S. jurisdictions to foreign investment laws and rules could adversely affect our strategic initiatives, financial performance, and growth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recent action by the U.S. to impose new port fees on Chinese-owned and operated vessels and Chinese-built vessels could have a material adverse effect on our operations and financial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several exceptions to this fee, including for both dry bulk and liquid vessels with capacity less than 80,000 dwt, vessels arriving to the US empty or in ballast, and vessels entering a port in the continental United States from a voyage of less than 2,000 nautical miles from a foreign port or point.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implementation of this action remains uncertain. A USTR hearing took place in May 2025 and the public comment period closed in July 2025. Additionally, specifics, such as applicability to sale leaseback arrangements with Chinese leasing financiers, have not been clarified. In a sale leaseback arrangement, the Chinese leasing financiers are the formal owners of the vessels. Furthermore, retaliatory measures from China or other nations could further compound disruptions and cost increases within the global shipping industry.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 impact port-related costs. For example, China imposed retaliatory port fees to restrict vessels of U.S. origin calling at Chinese ports on October 14, 2025, which could disrupt global shipping patterns and potentially increase congestion and costs at ports worldwide.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not launched the seaborne pulping business as of the date of this prospectus, the Group plans to launch its seaborne pulping business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business of our Shipping Subsidiaries could be negatively impacted by the cyclical nature of the shipping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the financial performance of the global maritime shipping business has exhibited cyclical patterns, marked by fluctuations in profitability and asset values due to changes in the supply and demand for international maritime shipping services. The quantity of shipping capacity depends on various factors, including the number and size of vessels in the global fleet, their deployment, the introduction of new vessels, and the decommissioning of older ones, etc. The demand for international maritime shipping services is influenced by global and regional economic conditions, currency exchange rates, the globalization of manufacturing, variations in global and regional international trade levels, regulatory developments, and alterations in seaborne and other transportation patterns. Predicting changes in the demand for international maritime shipping services is challenging. Declines in demand and/or increases in international maritime shipping capacity could result in substantially lower freight rates, decreased volume, or a combination of both, thereby adversely affecting the business, financial status, and operational results of our Shipping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face certain risks related to our transaction arrangements with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two (2) of the four (4) vessels operated by our Shipping Subsidiaries are leased from a related party controlled by a family member of our shareholder. Additionally, our Shipping Subsidiaries have also entered into business arrangements with related parties in the ordinary course of business. Historically, we did not have in place a formal process that meets public company standard to review and approve transactions with related parties, and such related party transactions may impair investors in Intercont’s Class A Ordinary Shares. But recently, the Company has adopted a related party transaction policy to review and approve all further related party transactions. Furthermore, if any of the related parties having a business relationship with the Group reneges from the arrangements, the Group will have difficulty in finding replacement in a timely and cost-efficient manner, if at all. As a result, our business operations and financial performance may be negatively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certain customers for our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 For the year ended June 30, 2023, Customer A (Topsheen Shipping Singapore Pte. Ltd., a related party), Customer B and Customer C accounted for approximately 43%, 19% and 12%, respectively, of the Group’s total revenue. As of December 31, 2025, Customer B accounted for approximately 98% of the Group’s accounts receivable. As of June 30, 2025, Customer A (Topsheen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receivable-related parties. As of June 30, 2025, Customer A (Topsheen Shipping Singapore Pte. Ltd., a related party), Customer D, Customer G (Meida Shipping Co., Limited, a related party) and Customer E (Tongda Shipping Co., Limited, a related party) accounted for approximately 47%, 22%, 12%and 11%, respectively, of the Group’s accounts receivable and accounts receivable-related parties. As of June 30, 2024, Customer D accounted for approximately 100% of the Group’s accounts receivable. The loss of any of our significant customers, a customer’s failure to make payments or perform under any of the applicable contracts, or a decline in payments under the contracts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Shipping Subsidiaries charter vessels from a limited number of 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currently charter two (2) vessels from a related party and charter one (1) vessel from an independent third party. If they terminate their business relationships with our Shipping Subsidiaries, our Shipping Subsidiaries will face the risk of not being able to secure adequate vessel replacement in a timely manner or the risk of being required to pay a higher charter rate for comparable vessel replacement, which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movements of the Baltic Dry Index (BDI), an indicator reflecting the daily average charter rates for key routes and published by the Baltic Exchange Limited, are highly unpredictable. Widely considered as a primary benchmark for monitoring the vessel charter market and overall shipping market performance, the BDI experienced a substantial 97.5% decline from its peak of 11,793 in May 2008 to 290 on February 10, 2016, and has since maintained a volatile trajectory. As of May 13, 2026 the BDI reached 3,063. The significant variance of BDI index could result in uncertainties in the Company’s operation.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factors influence the demand for shipping capacity,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Supply and demand dynamics for products suitable for maritime shipping.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global production of goods transported by 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Distance requirements for sea transport of cargo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Globalization of manufacturing.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and regional economic and political conditions, wars, armed conflicts, terrorist activities, embargoes, strikes, and tariffs.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trade developments and disruptions.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Shifts in seaborne and other transportation patterns, encompassing alterations in transport distances and vessel speeds.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and regulatory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exchange rate fluctuations.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 for dry bulk vessels is dependent upon economic growth in the world’s economies, seasonal and regional changes in demand and changes to the capacity of the global dry bulk fleet and the sources and supply of dry bulk cargo transported by sea. Continued adverse economic, political or social conditions or other developments could negatively impact charter rates and have a material adverse effect on our business, results of operations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influencing the supply of shipping capacity encompass: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building deliveries.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Scrapping rates of older shipping vessels.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Disruption of shipping routes due to accidents or political events.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Pricing of steel and other raw materials.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environmental and regulatory frameworks limiting the useful life of vessels.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inactive shipping vessels.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Port and canal congestion.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decline in the worldwide economic conditions, particularly in the Asia Pacific region, has the potential to significantly impact our Shipping Subsidiaries’ business, financial well-being, and operational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global economic landscape is pivotal in determining the demand for various commodities across the globe, consequently influencing maritime transportation. Specifically, the Group foresees a substantial number of ports, where its cargo operations are situated, continuing to be actively involved in cargo handling within the Asia Pacific Region. The Asia Pacific Region is expected to function as one of the Group’s crucial locations for loading and unloading operations. Therefore, any negative shifts in economic conditions within the Asia Pacific Region could exert a noteworthy influence on the demand for global maritime shipping. Nonetheless, if the economic state of the Asia Pacific Region persists in being feeble or undergoes negative growth in the future, it could have an adverse effect on the demand for global maritime shipping.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escalation of global trade protectionism could have a significant adverse impact on our Shipping Subsidiaries’ business, potentially affecting their financial condition, operational results, and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Shipping Subsidiaries’ operations are susceptible to the risk that increased global trade protectionism may negatively influence their business. Governments might resort to trade barriers to shield or rejuvenate their domestic industries against foreign imports, thereby diminishing the demand for global maritime shipping. Imposing restrictions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imports, including tariffs, could wield a substantial impact on global trade and the demand for shipping services. The presence of trade protectionism in the markets served by our Shipping Subsidiaries may lead to increased costs of exported goods, extended delivery times, elevated risks associated with exporting, ultimately resulting in a decrease in the volume of exported goods and a diminished demand for shipping.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operations and business revenue often stem from transporting goods from Asia to various overseas export markets. Any downturn or impediment in the production capacity of exporters based in Asia could significantly adversely affect Asia’s export growth rate and, consequently, affecting our Shipping Subsidiaries’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Shipping Subsidiaries operate in a highly competitive global maritime shipping industry and if they do not compete successfully with new entrants or established companies with greater resources, their shipping business growth and results of operations may be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worldwide international maritime shipping business is highly competitive. Barriers to entry are relatively low for existing shipping companies wishing to enter, or expand their presence in, a new market or new trade lane. Carriers compete based on price, frequency of service, transit time, port coverage, service reliability, vessel availability, inland operations, quality of customer service, value-added services and other customer requirements. There is strong competition in the international markets and trade lanes in which our Shipping Subsidiaries currently operate, and we expect that current competitive pressures within the international maritime shipping industry will continue.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Increases in marine fuel prices could increase our operating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Marine fuel constitutes a substantial cost to our global maritime shipping and seaborne pulping businesses. The cost of marine fuel is subject to many economic and political factors which are beyond our control. The price and supply of fuel are unpredictable and fluctuate based on events outside our control, including geopolitical developments, supply of and demand for oil and gas, actions by the Organization of the Petroleum Exporting Countries, or OPEC, and other oil and gas producers, war and unrest in oil-producing countries and regions, regional production patterns and environmental concerns. In February 2022, crude oil prices increased to a new seven-year high, impacted by the Russia-Ukraine conflict and the sanctions and other measures imposed on Russia by the United Kingdom, European Union, the United States, and other countries. As a result of the ongoing war in Iran over the past two months, oil prices have surged. The instability in the Middle East may further affect international oil prices. Although we do not have any trading activities with sanctioned parties or ports, sanctions and trade restrictions have increased uncertainty in global energy markets and fuel may become much more expensive in the future, which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Global events, such as terrorist attacks and regional conflicts, have the potential to significantly impact our business, financial status, operational results, and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Past terrorist attacks and the ongoing threat of future incidents worldwide continue to instigate uncertainty in the global financial markets, potentially affecting our business, operating outcomes, and financial condition. Additionally, recent acts of terror perpetrated by Houthi rebels in the Red Sea region further heighten concerns about the impact on maritime transportation along key routes, such as the Red Sea route, affecting the Group’s shipping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Ongoing conflicts and recent developments in regions such as Ukraine, Russia, North Korea, Myanmar, and the Middle East (including Iran, Iraq, Israel, Palestine, Syria, the Persian Gulf, Yemen), coupled with the presence of the United States or other armed forces in the Middle East, may lead to additional acts of terrorism and armed conflict globally. These events may contribute to heightened economic instability in the worldwide financial markets. Recent statements from government leaders about potential trade barriers to safeguard domestic industries against foreign imports add to the uncertainties.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 in a country where a significant supplier or customer of Intercont is situated could impact the supply chain or revenue generation from that customer. Historical instances indicate that political conflicts have resulted in attacks on vessels, waterway mining, and other efforts to disrupt global maritime shipping. Import restrictions, including tariffs, have historically and could continue to significantly impact global trade and the demand for shipping services. Although we have not conducted business with any sanctioned entity or port, we adopt several measures to avoid the transactions with any sanctioned entity or port, and we are in the process of make a Sanction, Export Control and Trade Control Policy. Any of these events, including the recent Houthi rebel terrorist attacks affecting the Red Sea route, could have a material adverse effect on our business, financial condition, cash flows, and operational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Acts of piracy on ocean-going vessels may have a material adverse effect on the Group’s business, financial condition, cash flows,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Acts of piracy have historically affected ocean-going vessels trading in regions of the world such as the South China Sea, the Indian Ocean, the Gulf of Aden off the coast of Somalia and, in more recent times, the Gulf of Guinea. Sea piracy incidents continue to occur, particularly in the Gulf of Aden off the coast of Somalia, in the Gulf of Guinea and the west coast of Africa, with carriers vulnerable to such attacks. Acts of piracy may result in death or injury to persons or damage to property. In addition, crew costs, including costs of employing on-board security guards, could increase in such circumstances. We may not be adequately insured to cover losses from these incidents, which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Increased inspection procedures and tighter import and export controls could increase costs and disrupt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Global maritime shipping business and our seaborne pulping business are both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changes to inspection procedures could impose additional financial and legal obligations on us. Changes to inspection procedures could also impose additional costs and obligations on Intercont and may, in certain cases, render the shipment of certain types of cargo uneconomical or impractical. Any such changes or developments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results of operations will be subject to seasonal fluctuations, which may adversely affect our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in which we operate our dry bulk vessels may exhibit seasonal variations in demand, such as demands affected by holiday seasons. In addition, unpredictable and adverse weather conditions and patterns in different parts of the world have in the past had a negative impact on various exports. Such seasonality may affect our business, results of operations, financial condition, and could affect our ability to pay dividends, if any,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freights may call on ports located in countries that are subject to restrictions imposed by the United States, United Kingdom, United Nations, or other governments.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do not anticipate our freights calling on ports situated in countries subject to sanctions and embargoes imposed by the U.S. government and other authorities, or countries identified as state sponsors of terrorism, there may be instances, based on charterers’ instructions, where our vessels may call on ports in such countries in the future. The application of U.S. sanctions and embargo laws varies, as they do not uniformly apply to the same entities or prohibit identical activities. Furthermore, these laws and regulations may be amended or strengthened over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are committed to complying with all applicable sanctions and embargo laws and regulations, and intends to maintain such compliance, there is no guarantee of continued compliance in the future. This uncertainty arises especially as the interpretation and scope of certain laws may be unclear and subject to evolving interpretations. Any violation of these laws could have a severe adverse impact on our ability to access U.S. capital markets.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operate carriers globally, exposing our business to inherent operational risks that could potentially impact our revenue, increase expenses, and may not be fully covered by 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Engaged in the global maritime shipping business and seaborne pulping business operating on international vessels, we face inherent risks associated with the global operations of ocean-going freights. Cargoes transported by us are susceptible to damage or loss due to various events, including marine disasters, adverse weather conditions, mechanical failures, human error, environmental accidents, war, terrorism, piracy, and other unforeseen circumstances. Additionally, the transportation of cargoes across diverse international jurisdictions introduces the risk of business interruptions caused by political circumstances in foreign countries, hostilities, labor strikes, boycotts, potential changes in tax rates or policies, and the possibility of government expropriation of our carried cargoes. Any of these events could lead to a loss of revenue, increased costs, and decreased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Changing economic, regulatory, and political conditions in some countries, including political and military conflicts, have historically resulted in attacks on vessels, waterway mining, piracy, terrorism, labor strikes, and boycotts. These hazards may result in personal injury or death, loss of revenue or property, payment of ransoms, environmental damage, higher insurance rates, market disruptions, and interference with shipping routes (such as delays or rerouting), all of which could have a material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we operate dry bulk vessels, our business has inherent operational risks which may reduce our revenue or increase our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international shipping industry is an inherently risky business involving global operations. Our vessels will be at risk of being damaged or lost because of events such as marine disasters, bad weather, mechanical failures, human error, environmental accidents, war, terrorism, piracy and other circumstances or events. In addition, transporting cargoes across a wide variety of international jurisdictions creates a risk of business interruptions due to political circumstances in foreign countries, hostilities, labor strikes and boycotts, the potential for changes in tax rates or policies, and the potential for government expropriation of our vessels. Any of these events may result in loss of revenues, increased costs and decreased cash flows to our customers, which could impair their ability to make payments to us under our charters.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operation of certain vessels, such as dry bulk carriers, has certain unique risks. With a dry bulk carrier, the cargo itself and its interaction with the vessel can be an operational risk. By their nature, dry bulk cargoes are often heavy, dense, easily shifted, and react badly to water exposure. In addition, dry bulk carriers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at sea. Hull breaches in dry bulk carriers may lead to the flooding of the vessels’ holds.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dry bulk carrier suffers flooding in its forward holds, the bulk cargo may become so dense and waterlogged that its pressure may buckle the vessel’s bulkheads, leading to the loss of a vessel. If we are unable to adequately repair our vessels after such damages, we may be unable to prevent these events. Any of these circumstances or events may have a material adverse effect on our business, results of operations and financial condition, if any, in the future, on our Class A Ordinary Shares. In addition, the loss of any of our vessels could harm our reputation as a safe and reliable shipping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Maritime claimants could arrest or attach one or more of our vessels, which could interrupt our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members, suppliers of goods and services to a vessel, shippers of cargo, lenders, and other parties may be entitled to a maritime lien against a vessel for unsatisfied debts, claims or damages. In many jurisdictions, a maritime lien holder may enforce its lien by “arresting” or “attaching” a vessel through judicial or foreclosure proceedings.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Labor interruptions could disrupt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could be subject to industrial action or other labor unrest that could prevent or hinder our operations from being carried out normally. If not resolved in a timely and cost-effective manner, such business interruptions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comply with the U.S. Foreign Corrupt Practices Act (FCPA) and other anti-bribery legislation in various jurisdictions could lead to fines, criminal penalties, contract terminations, and adversely affect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global maritime shipping business and seaborne pulping business span numerous countries globally, including those with a known reputation for corruption. The Group is dedicated to conducting its business in adherence to applicable anti-corruption laws. However, we face the risk that individuals or entities employed or engaged by the company, or their agents, may take actions violating anti-corruption laws, including the U.S. Foreign Corrupt Practices Act. Such violations could result in substantial fines, sanctions, civil and/or criminal penalties, or limitations on operations in specific jurisdictions, potentially impacting our business, operational results, or financial condition. Moreover, actual or alleged violations could harm our reputation and our ability to engage in business activities. Additionally, the process of detecting, investigating, and resolving actual or alleged violations is costly and can demand significant time and attention from our senior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smuggling of drugs or other contraband onto our freight may lead to governmental claims against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freights may call at ports where smugglers attempt to hide drugs and other contraband on vessels, either with or without the knowledge of crew members. In the event that our freights are discovered with contraband, whether or not crew members are aware, the company may face reputational damage and governmental or regulatory claims, potentially having a material adverse effect on our business, financial condition, cash flows, and operational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need to maintain our relationships with local shipping agents, port and terminal operators.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our business relies on our relationships with local shipping agents, port, and terminal operators in the ports where our customers ship and unload their products. The Group believes that these relationships will continue to be crucial for its future success, and the loss of one or more of these relationships could materially and negatively impact its ability to retain and service our customers. We cannot guarantee that we will be able to maintain and expand our existing relationships with local shipping agents, port, and terminal operators or establish new relationships, and uncertainties exist regarding the availability of new or renewed relationships on commercially reasonable terms. In the event that we are unable to maintain, expand, or establish these relationships, we may risk losing customers or experiencing delays in the ports where we operate, potentially having a material adverse effect on our business, financial condition, cash flows, and operational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global financial credit crisis and geopolitical uncertainties have impacted the revenue of the Group, whose primary business revolves around global maritime shipping, particularly in the aspect of chartering vessels. These adverse factors may contribute to increased instability in the ship chartering market, resulting in fluctuations in charter rates and affecting our costs and income related to vessel leasing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 environment of financial credit tightening, ship leasing may be influenced by funding shortages and financial pressures, making it challenging for us to secure favorable chartering terms. Additionally, geopolitical tensions may elevate risks on certain shipping routes, further impacting our flexibility and stability in chartering vessels and fulfilling transportation contracts.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address these challenges, we may need to implement prudent financial management strategies, enhance collaboration with shipowners and leasing companies, and facilitate the operational stability of our fleet amidst the volatile financial and geopolitical landscape. Moreover, effective risk assessment and flexible operational strategies will play a critical role in sustaining our business continuity and profitability in the realm of vessel chartering.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ship leasing market is encountering increasing regulatory and environmental pressures, which may potentially lead to a rise in operational costs for us in the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escalating regulatory landscape, particularly in terms of safety, emissions, and other compliance measures, poses challenges for companies involved in ship leasing such as us, and specifically, our Shipping Subsidiaries. Adhering to and implementing these stringent regulations often necessitates investments in technology upgrades, staff training, and enhanced safety protocols, all of which can contribute to an upward trend in operational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growing emphasis on environmental sustainability is driving the maritime industry towards cleaner and more eco-friendly practices. Adoption of advanced technologies, alternative fuels, and eco-conscious operational measures may come with additional costs. As we align with these evolving industry standards, there is a potential for increased operational expenditures associated with environmental compliance.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mitigate the impact of these pressures, we may need to proactively manage our operations, invest in sustainable technologies, and continuously monitor and adapt to changing regulatory requirements. Strategic planning and a commitment to environmentally responsible practices will be essential for us to navigate potential increases in operational costs in the ship leasing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may be adversely impacted by severe weather, including as a result of climate change.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Tropical storms, hurricanes, typhoons and other severe maritime weather events could result in (i) the suspension of operations at the planned ports of call for our vessels and require significant deviations from our vessels’ routes, and (ii) the suspension of our production in our seaborne pulping facilities. In addition, climate change could result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increase in the frequency and severity of these extreme weather events. The closure of ports, rerouting of vessels, damage of production facilities, as well as other delays caused by increasing frequency of severe weather, could stop operations or shipments for indeterminate periods and have a material adverse effect on our business, results of operations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consequences of climate change, including growing public concern about the environmental impact of climate change, may also adversely affect demand for our services. For example, increased regulation of greenhouse gases or other concerns relating to climate change may reduce the demand for coal in the future, one of the primary cargoes carried by dry bulk vessels and other vessels we may acquire. In addition, the physical effects of climate change, including changes in weather patterns, extreme weather events, rising sea levels and scarcity of water resources may negatively impact our operations. Any long-term economic consequences of climate change could have a significant financial and operational adverse impact on our business that we cannot predict with certainty at this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With the implementation of environmental regulations, the imperative for energy-efficient design in newly built vessels to reduce their carbon intensity has become apparent. Consequently, there is a likely increase in demand for green vessels, but simultaneously, this implies a rise in associated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implementation of environmental regulations, including the industry guidelines introduced in 2019 under the “Poseidon Principle” and the MEPC80 meeting held in July 2023 (where countries agreed on a timetable for achieving net-zero carbon emissions in the shipping industry), ship operators may face higher investments and operational costs. This includes costs related to the design and construction of new vessels, investments in fuel and energy efficiency improvements, and updates to equipment and technology to comply with environmental regulations, leading to further increase in chartering costs. These additional costs could have a negative impact on the profitability and competitiveness of shipping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further strengthening of environmental regulations and the introduction of new net-zero carbon targets may further elevate the demand for green vessels, posing challenges to the cost structure of the shipping industry. Therefore, we may face increase in costs resulting from the adaptation to new environmental regulations and market demands while maintaining sustainable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Increased scrutiny of environmental, social and governance matters may impact our business and reputation.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importance of their financial performance, companies are increasingly being judged by their performance on a variety of ESG matters which are considered to contribute to the long-term sustainability of companies’ performance.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the shipping industry undergoes digital transformation, the post-implementation maintenance costs of such systems may be higher than those in traditional shipping.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digitalization of the shipping industry involves the integration of advanced technologies and digital systems, such as maritime software, data analytics, and communication systems. While these technologies offer various benefits, including improved efficiency, real-time monitoring, and enhanced decision-making capabilities, they also introduce complexities and dependencies that may lead to increased maintenance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continuous evolution of digital technologies requires ongoing updates, cybersecurity measures, and support services to facilitate the smooth functioning and security of digital systems. Additionally, the need for specialized personnel with expertise in digital technologies may contribute to higher labor costs for system maintenance. As a result, we may also face increased costs relating to the digital transformation.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paper product industry is cyclical in nature. Fluctuations in the prices of, and the demand for, our seaborne pulping products could result in lower sales volumes and smaller profit margins.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launch its seaborne pulping business in an orderly manner at an appropriate time once external economic and political conditions stabilize.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paper industry is cyclical in nature. Economic and market shifts, fluctuations in capacity and changes in foreign currency exchange rates may create cyclical changes in prices, sales volume and margins for our paper products. The overall levels of demand for the paper products that we will manufacture, and consequently our sales and profitability, will reflect fluctuations in levels of end-user demand, which depend in part on general macroeconomic conditions. Industry supply of paper products is also subject to fluctuation, as changing industry conditions have and will continue to influence producers to idle or permanently close individual machines or entire mills or retool them for different products to offset a decline in demand. As a result, prices for our paper products will be driven by many factors outside of our control, and we have little influence over the timing and extent of price changes, which are often volatile. If the prices or demand for our paper products decline, or if raw material, transportation or energy costs increase, or both, our business, financial condition and results of operations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business and economic conditions could have a material adverse effect on the demand for our seaborne pulping products and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business and economic conditions could have a material adverse effect on our seaborne pulping business, financial condition and results of operations. Factors such as the COVID-19 pandemic, civil unrest, high unemployment levels, availability and cost of credit, geopolitical issues and trade disputes have contributed in the past, and may contribute in the future, to volatility in worldwide financial markets and disruptions to, and diminished expectations for, the economy and markets. These conditions could adversely affect industrial non-durable goods production, consumer spending, commercial printing and advertising activities, goods and parcel packaging, white-collar employment levels and consumer confidence, all of which impact demand for our products. In addition, volatility in the capital and credit markets, which impacts interest rates, currency exchange rates and the availability of credit,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Competition from other businesses and combination within the paper product industry could have a material adverse effect on our future competitive position in our seaborne pulping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paper product industry is a competitive environment internationally. Product innovations, manufacturing and operating efficiencies, and marketing, distribution and pricing strategies pursued or achieved by competitors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seaborne pulping business is still in early stages, and may not operate profitably, if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launch its seaborne pulping business in an orderly manner at an appropriate time once external economic and political conditions stabilize. Currently, Openwindow is in the process of working with a ship owner to set up the factory ship for the seaborne pulping business and testing the equipment. With no historical track record, Openwindow may not be able to successfully operate its seaborne pulping business, if at all. If Openwindow’s seaborne pulping business fails to turn a profit, our business, operations, and financial conditions will be negatively impacted.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still in the research and development stage of the waste gas recycle system related technology, and we have not tested out such technology. There are risks that the technology may not work in practice or if they work, they may not be as efficient as we expect.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seaborne pulping business model is still in experimental stages and the current plan may not fully materialize when applied into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seaborne pulping business combines innovative business model and technology. Many details of the technologies are still in experimental stages and may be improved or modified as the researches and business operation proceed. As a result, the current plan may see further modifications when actually applied into business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significantly rely on third-party intellectual property to carry out our seaborne pulping business, if we fail to continue the license, our seaborne pulping business will suffer material loss or fail to proceed.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engaged Jiangsu Xinsihui Marine Technology Limited Co. (“Xinsihui”) for seaborne pulping technology development. We were licensed to use all the patents registered or applied under Xinsihui for free until the completion of our IPO. On November 13, 2025, we entered into a patent assignment agreement for pulping factory ship project (“Patent Assignment Agreement”) with Xinsihui, pursuant to which Xinsihui agreed to assign, and we agreed to accept the assignment of, all legally owned patents and patent applications, including all associated patent rights and derivative rights (the “Assigned Patents”).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seaborne pulping business may not comply with all the import/export laws and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Openwindow’s seaborne pulping business transforms the goods on board during the voyage. However, the laws and regulations usually require the goods on board remain the same to conform with the description on the customs sheets. Therefore, as a new business model, the seaborne pulping business has not proven to comply with the import/export laws and regulations of the countries where Openwindow’s business will cover. If we fail to operate the business in a manner complying with such laws and regulations, we may be subject to fines, sanctions, or may not to operate the seaborne pulping business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success depends on the continuing and collaborative efforts of our management team, and our business may be severely disrupted if we lose their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we derive all of our revenues from our global maritime shipping business. Our success heavily depends upon the continued services of our management.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suppliers, know-how and key professionals and staff members. Our senior management has entered into employment agreements and confidentiality and non-competition agreements with us. However, if any dispute arises between our management team and the Group, we may have to incur substantial costs and expenses in order to enforce such agreements in Hong Kong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recruit, train and retain qualified personnel or sufficient workforce while controlling our labor costs, our business may be materially and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support our business operations and planned expansion, we intend to hire additional qualified employees. Our future success depends, to a significant extent, on our ability to recruit, train and retain qualified personnel, particularly technical, marketing and other operational personnel with experience in the global maritime shipping and pulp making industries. Our operation and technical teams play a crucial role in putting our company strategy and plans into action as well as supporting our operations and expansion. The effective operation of our managerial and operating systems, coordination with suppliers and customers, and other back office functions also depends on the hard work and quality performance of our management and employees. Since we face high demand and intense competition for talent and labor, we can provide no assurance that we will be able to attract or retain qualified staff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other highly skilled employees that we will need to achieve our strategic objectives. With increased labor costs, we might not be able to offer steady and committed operational staffs and other labor support enough incentives if our remuneration plan is not competitive in the market. Any failure to address these risks and uncertainties could materially and adversely affect our results of operations and financial performance. In addition, our ability to train and integrate new employees into our operations may also be limited and may not meet the demand for our business growth on a timely fashion, or at all, and rapid expansion may impair our ability to maintain our corporate culture.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obtain certain filings, approvals, licenses, permits and certificates required for our business operations may materially and adversely affect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global maritime shipping and pulp making businesses span across countries. Although we spend efforts to obtain and maintain various approvals, licenses, permits and filings to operate our business, we cannot guarantee that we will be in compliance with all the applicable regulatory requirements due to the complexity of transnational rules and regulations. Additionally, such licenses are usually valid for specified periods and subject to renewals on expiry. As a result, any failure to renew such licenses may materially and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insurance coverage, which could expose us to significant costs and business disruption.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and its subsidiaries have obtained insurance policies they deem necessary and in line with the ordinary practices of the industry. However, the Group and its subsidiaries do not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from time to time, be subject to legal proceedings or administrative penalties during the course of our business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clients, suppliers, competitors, or governmental entities in civil or criminal investigations and proceedings, or other entities. These claims could be asserted under a variety of laws, including but not limited to those related to product liability, consumer protection, intellectual property, unfair competition, privacy, labor and employment, securities, real estate, tort, contract, property and employee benefit. There is no guarantee that we will prevail in defending ourselves in legal and administrative procedures or in enforcing our rights under various laws, and we may still be involved in several legal or administrative proceedings. Enforcing our rights against the different parties involved may be costly, time-consuming, and ultimately fruitless even if we are successful in our attempt to protect ourselves in legal and administrative processes or to claim our rights under various laws. These actions could expose us to negative publicity and to substantial monetary damages and legal defense costs, injunctive relief and criminal and civil fines and penalties, including but not limited to suspension or revocation of licenses to conduct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currently in the process of applying for several patents connected to our seaborne pulping businesses. We may not be able to adequately protect our intellectual property and other proprietary rights that are material to our business, or to defend successfully against intellectual property infringement claims by third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in the process of applying for several patents connected to our seaborne pulping businesses. Although we endeavor to protect our rights, third parties may infringe or misappropriate our intellectual property. We may have to litigate to enforce and protect our patents and other intellectual property rights or to determine their scope, validity or enforceability. This would represent a diversion of resources that may be significant and our efforts may not prove successful. The inability to secure or protect our intellectual property assets could harm our reputation and have a material adverse effect on our business and our ability to compete with other companies in our industry.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be subject to claims by third parties for (i) patent, trademark or copyright infringement, (ii) breach of patent, trademark or copyright license usage rights or (iii) misappropriation of trade secrets. Any such claims or resulting litigation could result in significant expense and liability for damages. If we were found to have infringed or misappropriated a third-party patent or other intellectual property right, we could in some circumstances be prohibited from providing certain products or services to our customers or from utilizing and benefiting from certain patents, copyrights, trademarks, trade secrets or licenses. Alternatively, we may be required to enter into costly licensing arrangements with third parties. Any of these scenarios could harm our reputation and have a material adverse effect on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need additional capital, and financing may not be available on terms acceptable to us, or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require additional capital to pursue our business objectives and respond to business opportunities, challenges or unforeseen circumstances, including to expand our fleet, install factory ship modifications for our seaborne pulping businesses, source additional clients and suppliers, improve our technology, and acquire complementary businesses and technologies. We might try to get a credit facility or sell more equity or debt securities if our current resources aren’t enough to cover our financial needs. Existing shareholder dilution could occur as a result of the selling of additional equity securities. Increased debt payment costs and possible operating and financial covenants would follow the incurrence of debt, which would limit our ability to operate. It is uncertain whether financing will be available in amounts or on terms acceptable to us, if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relative lack of public company experience of our management team may put us at a competitive disadvantage.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and management team lack public company experience, which could impair our ability to comply with legal and regulatory requirements such as those imposed by the Sarbanes-Oxley Act. Our board of directors and senior management do not have much experience managing a publicly traded company. Such responsibilities include complying with federal securities laws and making required disclosures on a timely basis. Our board of directors and senior management may be unable to implement programs and policies in an effective and timely manner or that adequately respond to the increased legal, regulatory and reporting requirements associated with being a publicly traded company. Our failure to comply with all applicable requirements could lead to the imposition of fines and penalties, distract our management from attending to the management and growth of our business, result in a loss of investor confidence in our financial reports and have an adverse effect on our business and share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implement and maintain an effective system of internal controls, we may be unable to accurately report our results of operations, meet our reporting obligations or prevent fraud, and investor confidence and the market price of Intercont’s Class A Ordinary Shares may be materially and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of 1934 (the “Exchange Act”), the Sarbanes-Oxley Act of and the rules and regulations of Nasdaq Stock Market after we are successfully listed on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combined and consolidated financial statements included elsewhere in this prospectus, we and our independent registered public accounting firm identified one material weakness in our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our annual or interim combined and consolidated financial statements will not be prevented or detected on a timely basis. The material weaknesses identified relate to our lack of sufficient competent 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the material weakness identified, we are in the process of implementing a number of measures to address the material weakness identified, including but not limited to (i) hiring additional qualified accounting and financial personnel with appropriate knowledge and experience in U.S. GAAP accounting and SEC reporting; and (ii) organizing regular training for our accounting staffs,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we cannot assure you that we will not identify additional material weaknesses or significant deficiencies in the future. In addition, if we are unable to meet the requirements of Section 404 of the Sarbanes-Oxley Act, our Class A Ordinary Shares may not be able to remain listed on Nasdaq Capital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combined and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Intercont’s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combined and consolidated financial statements from prior periods.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Corporate Structure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 economic substance requirements may have an effect on our business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International Tax Cooperation (Economic Substance) Act (as revised) of the Cayman Islands, or the ES Act, that came into force on January 1, 2019, a “relevant entity” that carries on a “relevant activity” is required to satisfy the economic substance test set out in the ES Act. A “relevant entity” includes an exempted company incorporated in the Cayman Islands as is Intercont. A “relevant activity” includes a holding company business. Based on the current interpretation of the ES Act, we believe that (i) Intercont is a pure equity holding company since it only holds equity participation in other entities and only earns dividends and capital gains, and (ii) Intercont carries on a holding company business, meaning the business of a pure equity holding entity. Accordingly, for so long as Intercont is a “pure equity holding company” that carries on a “holding company business”, it is only subject to the reduced substance requirements, which require us to (i) comply with all applicable filing requirements under the Companies Act; and (ii) has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Intercont is incorporated under the Cayman Islands law, you may face difficulties in protecting your interests, and your ability to protect your rights through U.S. courts may be limited.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an exempted company incorporated under the laws of the Cayman Islands. Intercont’s corporate affairs are governed by its memorandum and articles of association (as amended from time to time), the Companies Act and the common law of the Cayman Islands. The rights of shareholders to take action against Intercont’s directors, actions by its minority shareholders and the fiduciary duties of its directors to Intercont under the Cayman Islands laws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Intercont’s shareholders and the fiduciary duties of its directors under the Cayman Islands laws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the Cayman Islands companies may not have standing to initiate a shareholder derivative action in a federal court of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of Cayman Islands companies like Intercont have no general rights under the Cayman Islands laws to inspect corporate records, other than the memorandum and articles of association (as amended from time to time) and any special resolutions passed by such companies, and the registers of mortgages and charges of such companies. Intercont’s directors have discretion under its memorandum and articles of association to determine whether or not, and under what conditions, its corporate records may be inspected by its shareholders, but are not obliged to make them available to its shareholders except as confirmed by law or authorized by the directors or by Intercont by ordinary resolution. This may make it more difficult for you to obtain the information needed to establish any facts necessary for a shareholder motion or to solicit proxies from other shareholders in connection with a proxy contest. Certain corporate governance practices in the Cayman Islands, where Intercont is incorporated, differ significantly from requirements for companies incorporated in other jurisdictions such as the United States. Currently, Intercont relies on certain home country practices with respect to its corporate governance and its shareholders are afforded less protection that they would otherwise enjoy under Nasdaq corporate governance listing standards applicable to the U.S. domestic issuers.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public shareholders may have more difficulty in protecting their interests in the face of actions taken by our management, members of our board of directors, or our major shareholders than they would as public shareholders of a company incorporated in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may continue to rely on certain exemptions afforded to a Foreign Private Issuer even after it loses its status as an Emerging Growth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Intercont is a holding company, and it will rely on dividends and other distributions on equity paid by its subsidiaries for its cash and financing requirements. Within Intercont’s direct holding structure, the cross-border transfer of funds within the Group is legal and compliant with the laws and regulations of Singapore, Hong Kong, and the Cayman Islands. Intercont’s subsidiaries are permitted under the respective laws of Hong Kong and Singapore to provide funding to their respective shareholders through dividends without restrictions on the amount of the funds, other than as limited by the amount of their distributable earnings and subject to the requirement of maintaining sufficient fund for these subsidiaries to remain solvent as a going concern and meet its contractual obligations owed to third parties prohibiting or restricting dividend distributions. However, to the extent cash is in Intercont’s subsidiaries in Hong Kong, there is a possibility that the funds may not be available to fund Intercont’s operations or for other uses outside of Hong Kong due to interventions or the imposition of restrictions and limitations by the Hong Kong laws or PRC government on the ability to transfer cash outside Hong Kong or Hong Kong entity. While there are currently no restrictions on foreign exchange and our ability to transfer cash or assets between Intercont and its subsidiaries in Hong Kong, if certain laws and regulations, including existing laws and regulations and those enacted or promulgated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were to become applicable to us, and to the extent our cash or assets are in Hong Kong or a Hong Kong entity (such as our subsidiaries in Hong Kong), such funds or assets may not be available to fund operations or for other uses outside of Hong Kong due to interventions in or the imposition of restrictions and limitations on our ability to transfer funds or assets by the PRC government. Furthermore, we cannot assure you that the PRC government will not intervene or impose restrictions on Intercont or its subsidiaries in Hong Kong to transfer or distribute cash within the organization, which could result in an inability of or prohibition on making transfers or distributions to entities outside of Hong Kong. If any of our subsidiaries incurs debt on its own behalf in the future, the instruments governing such debt may restrict their ability to pay dividends to Intercont.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judgments obtained against us by Intercont’s shareholders may not be enforceable.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Islands exempted company and substantially all of the Group’s assets are located outside of the United States. In addition, all of Intercont’s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 As a result of all of the above, our shareholders may have more difficulties in protecting their interests through actions against us or our officers, directors or major shareholders than would shareholders of a corporation incorporated in a jurisdiction in the United States.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Doing Business in Hong Kong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 is an offshore holding company incorporated in the Cayman Islands. As a holding company with no material operations, Intercont’s operations are conducted by its subsidiaries in Asia, currently mostly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Islands holding company with no material operations of its own. As of the date of this prospectus, substantially all of Intercont’s business operations are conducted by the Shipping Subsidiaries, which are headquartered in Hong Kong. The ability of the Shipping Subsidiaries to make dividend and other payments to Intercont may be restricted by factors that include changes in applicable foreign exchange and other laws and regulations. While there are currently no restrictions on foreign exchange and our ability to transfer cash or assets between Intercont and its subsidiaries, if certain laws and regulations, including existing laws and regulations and those enacted or promulgated in the future were to become applicable to us, and to the extent our cash or assets are in Hong Kong or a Hong Kong entity (such as our Shipping Subsidiaries), such funds or assets may not be available to fund operations or for other use outside of Hong Kong due to the imposition of restrictions, limitations, and procedures on our transfer of funds or assets by the PRC government. Furthermore, we cannot assure you that the PRC government will not intervene or impose restrictions on our Shipping Subsidiaries, Fortune Ocean, or Intercont to transfer or distribute cash within the organization, which could result in an inability of or prohibition on making transfers or distributions to entities outside of Hong Kong. Any limitation on the ability of our Shipping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our Shipping Subsidiaries incurs debt on its own behalf in the future, the instruments governing such debt may restrict its ability to pay dividends.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Hong Kong legal system embodies uncertainties which could negatively affect our listing on Nasdaq and limit the legal protections available to you and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Hong Kong legal system embodies uncertainties which could negatively affect Intercont’s listing on Nasdaq and limit the legal protections available to you and us. Since the handover of the sovereignty of Hong Kong to China in 1997, Hong Kong’s Basic Law ensured Hong Kong will retain its own currency (the Hong Kong Dollar), legal system, parliamentary system and people’s rights and freedom for 50 years from 1997, giving Hong Kong the freedom to function in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 Any change in the degree of autonomy of Hong Kong could potentially impact Hong Kong’s common law legal system, and may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turn bring about uncertainty in, for example, our listing on Nasdaq Stock Exchange. This also could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operate principally in Hong Kong, and adverse economic or other events affecting the region or any significant worsening to the present global financial condition could significantly impact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substantially all of the Group’s operations are conducted by our Shipping Subsidiaries headquartered in Hong Kong. Changes in demand, economic and political developments and regulatory changes in the region will have a significant effect on our business, results of operations and financial condition. In addition, adverse weather conditions, earthquakes, fires, power loss, telecommunications failures, breakage of land or submarine transmission cables, military or terrorist activity or similar events within Hong Kong may cause significant disruption to our business operations. The outbreak of any severe contagious disease or pandemic within Hong Kong could also have a material adverse effect on our business, results of operations and financial performance. Any significant and protracted worsening to the present global financial and economic climate could result in a change to the spending or usage behavior of our customers which could have an adverse impact on our business, results of operations and financial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Hong Kong’s position and reputation is dependent on the high degree of autonomy.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is a special administrative region of the PRC with its own government. Hong Kong enjoys a high degree of autonomy from the PRC under the principle of “one country, two systems.” However, there can be no assurance that our financial condition and results of operations will not be adversely affected as a consequence of the exercise of PRC sovereignty over Hong Kong. On July 14, 2020, the President of U.S. signed an executive order to end the special status enjoyed by Hong Kong under the U.S.-Hong Kong Policy Act of 1992. Hong Kong’s position and reputation as an international financial and trade center may be further damaged, and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affected by the currency peg system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1983, Hong Kong dollars have been pegged to the U.S. dollars at approximately HK$7.80 to US$1.00. We cannot assure you that this policy will not be changed in the future. If the pegging system collapses and Hong Kong dollars suffer devaluation, the Hong Kong dollar cost of our expenditures denominated in foreign currency may increase. This may in turn adversely affect the operations and profitability of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decline in the economies of Hong Kong, mainland China, or globally, or alterations in mainland China and Hong Kong’s economic and political policies, may significantly and negatively impact our business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performance, future opportunities, financial health, and operational outcomes of us could be significantly impacted by the political, economic, and social landscapes in Hong Kong and mainland China. The Chinese economy stands apart from most developed nations across several aspects, such as the amount of government involvement, level of development, growth rate, control of foreign exchange and allocation of resources. Despite substantial growth in recent decades, the Chinese economy’s progression has been uneven, both regionally and across various sectors. The Chinese government has implemented various measures aimed at encouraging economic growth and guiding resource distribution. While these measures might benefit the broader Chinese economy, some could potentially have adverse effects on our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economy in Hong Kong and mainland China is responsive to global economic trends. A prolonged downturn in the worldwide or Chinese economy could impact the businesses of both our existing and potential customers, thereby exerting a negative influence on the business, operational results, and financial standing of our subsidiaries. Furthermore, sustained volatility in international markets may hinder our capacity to access the capital markets to fulfill liquidity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operational activities are primarily conducted in Hong Kong. Accordingly, political and economic conditions in Hong Kong and the surrounding region may directly affect our business. In 2019, a number of political protests and conflicts have occurred in Hong Kong in connection with proposed legislation that would allow local authorities to detain and extradite people who are wanted in territories that Hong Kong does not have extradition agreements with, including the mainland of China and Taiwan. The economy of Hong Kong has been negatively impacted, including retail market, property market, securities market, and tourism, from such protests.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is susceptible to incidents or factors which affect the stability of the social, economic and political conditions in Hong Kong. It is unclear whether there will be other political or social unrest in the near future or that there will not be other events that could lead to the disruption of the economic, political and social conditions in Hong Kong. If such events persist for a prolonged period of time or that the economic, political and social conditions in Hong Kong are to be disrupted, our overall business and results of operations may be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economic, political and legal developments and social conditions in the PRC may significantly affect our business, financial condition, results of operations and prospects. Policies of the PRC government can have significant effects on economic conditions in the mainland of China and Hong Kong. While we believe that the PRC will continue to strengthen its economic and trading relationships with foreign countries and that business development in the PRC will continue to follow market forces, we cannot assure you that this will be the case. Our business operations and prospects, financial condition, and results of operations may be adversely affected by changes in policies by the PRC government,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laws, regulations or their interpretation;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confiscatory taxation;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currency conversion, imports or sources of suppliers, or ability to continue as a for-profit enterprise;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expropriation or nationalization of private enterprises;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allocation of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enactment of the law of the PRC on Safeguarding National Security in the Hong Kong Special Administrative Region (the “Hong Kong National Security Law”) could impact our subsidiaries in Hong Kong, which may affect a substantial part of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the U.S. President signed the Hong Kong Autonomy Act, or HKAA, into law, authorizing the U.S. administration to impose blocking sanctions against individuals and entities determined to have materially contributed to the erosion of Hong Kong’s autonomy.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foreign financial institutions and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holding company, and we conduct a substantial portion of our operations through our subsidiaries in Hong Kong. As Hong Kong is a special administrative region of the PRC, the PRC government may choose to exercise significant oversight and discretion to companies based in Hong Kong. If we or our subsidiaries in Hong Kong were to become subject to PRC laws, regulations, and other government directives in China, such laws, regulations, and other government directives in China may be costly to comply with, and such compliance or any associated inquiries or investigations or any other government actions may: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 or impede our subsidiaries’ development;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Result in negative publicity or increase our subsidiaries’ operating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significant management time and attention;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us to remedies, administrative penalties, and even criminal liabilities that may harm our subsidiaries’ business, including fines assessed for our subsidiaries current or historical operations, or demands or orders that our subsidiaries modify or even cease their business practices.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aware that, recently, the PRC government initiated a series of regulatory actions and statements to regulate business operations in certain areas in China, some of which were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These regulatory actions and statements emphasize the need to strengthen the administration over illegal securities activities and the supervision of China-based companies seeking overseas listings. Additionally, companies are required to undergo a cybersecurity review if they hold large amounts of data related to issues of national security, economic development, or public interest before carrying out mergers, restructuring, or splits that affect or may affect national security. These statements were recently issued, and their official guidance and interpretation remain unclear at this time. While we believe that our subsidiaries’ operations are not currently being affected, if such statements become applicable to our subsidiaries in Hong Kong, compliance with new regulatory requirements or any future implementation rules may present a range of new challenges which may create uncertainties and increase our subsidiaries’ cost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risks that the Chinese government may intervene or influence our subsidiaries’ operations at any time and may exert more control over offerings conducted overseas and foreign investment in Hong Kong-based issuers, which may result in a material change in our subsidiaries’ operations and/or the value of Intercont’s ordinary share. Any legal or regulatory changes that restrict or otherwise unfavorably impact our subsidiaries’ ability to conduct their business could decrease demand for their services, reduce revenues, increase costs, require them to obtain more licenses, permits, approvals or certificates, or subject them to additional liabilities. To the extent that any new or more stringent measures are implemented and applicable to our business, our business, financial condition and results of operations could be adversely affected, and the value of Intercont’s ordinary share could decrease or become worthless.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PRC government exerts substantial influence and discretion over the manner in which companies incorporated under the laws of the PRC must conduct their business activities. Our subsidiaries are Singapore or Hong Kong based company with no substantive operations in the mainland of China. However, if we were to become subject to such direct influence or discretion, it may result in a material change in our operations and/or the value of Intercont’s Class A Ordinary Shares, which would materially affect the interest of the investors.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do not have any operations in the mainland of China. All of our revenues are derived from our Shipping Subsidiaries headquartered in Hong Kong, a special administrative region of China. The PRC government currently does not exert direct influence and discretion over the manner in which we conduct our business activities outside of the mainland of China, however, there is no guarantee that we will not be subject to such direct influence or discretion in the future due to changes in laws or other unforeseeable reasons or as a result of our expansion or acquisition of operations in the mainland of China.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became subject to the direct intervention or influence of the PRC government at any time due to changes in laws or other unforeseeable reasons or as a result of our development, expansion or acquisition of operations in the PRC, it may require a material change in our operations and/or result in increased costs necessary to comply with existing and newly adopted laws and regulations or penalties for any failure to comply. In addition, the market prices of Intercont’s Class A Ordinary Shares could be adversely affected as a result of anticipated negative impacts of any such government actions, as well as negative investor sentiment towards Hong Kong-based companies subject to direct PRC government oversight and regulation, regardless of our actual operating performance. There can be no assurance that the PRC government would not intervene in or influence our operations at any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(i) believe we are not subject to the Trial Measures: (ii) believe we are not required to obtain permissions from any PRC authorities to operate or issue Intercont’s Class A Ordinary Shares to foreign investors or trade of Intercont’s Class A Ordinary Shares on Nasdaq; (iii) are not subject to permission requirements from the China Securities Regulatory Commission (the “CSRC”), the Cyberspace Administration of China (the “CAC”) or any other entity that is required to approve of our subsidiaries’ operations; and (iv) have not received or were denied such permissions by any PRC authorities. Given the current PRC regulatory environment, it is uncertain when and whether we will be required to obtain permission from the PRC government to list on U.S. exchanges in the future, and even when such permission is obtained, whether it will be denied or rescinded. Therefore, our operations could be adversely affected, directly or indirectly, by existing or future laws and regulations relating to its business or industry. As a result, Intercont’s Class A Ordinary Shares may decline in value dramatically or even become worthless should we become subject to new requirement to obtain permission from the PRC government to list on U.S. exchange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Shipping Subsidiaries are subject to various evolving Hong Kong laws and regulations regarding data privacy, which could subject them to government enforcement actions and investigations, fines, penalties, and suspension or disruption of their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Hong Kong Subsidiaries operate their business in Hong Kong and are thus subject to the laws and regulations of Hong Kong in respect of data privacy and data protection. The main legislation in Hong Kong concerning data privacy is the Personal Data (Privacy) Ordinance (Chapter 486 of the Laws of Hong Kong) (“PDPO”), which regulates the collection, usage, storage, and transfer of personal data and imposes a statutory duty on data users to comply with the six data protection principles and other provisions contained therein. The PDPO applies to a person who, either alone or jointly or in common with other persons, controls the collection, holding, processing or use of personal data in or from Hong Kong. Our directors confirm to the best of their knowledge, information, and belief, as of the date of this prospectus, (i) each of the Hong Kong Subsidiaries has complied with the laws and requirements in respect of data privacy in Hong Kong; (ii) none of the Shipping Subsidiaries has been involved in any litigation or regulatory action relating to breach of the PDPO; and (iii) they are not aware of any non-compliance incidents relating to any breach of the PDPO by any of the Shipping Subsidiaries since their respective dates of incorporation.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comply with the data privacy requirements in a timely manner, or at all, may subject us and/or the Shipping Subsidiaries to consequences including but not limited to government enforcement actions and investigations, fines, penalties, and suspension or disruption of the Shipping Subsidiaries’ operations, which may in turn adversely affect our financial conditions,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comply with Hong Kong Competition Law may result in material and adverse effect on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operate in a competitive industry and a highly competitive market. We may be subject to a variety of laws and other obligations regarding competition law in Hong Kong, and any failure to comply with applicable laws and obligations could have a material and adverse effect on our business, financial condition and results of operations. We face significant competition in the market due to a large amount of goods and service providers. We may be subject to the Competition Ordinance (Chapter 619 of the Laws of Hong Kong) (“Competition Ordinance”), which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 (ii) the second conduct rule prohibits undertakings with a substantial degree of market power in a market from abusing that power by engaging in conduct that has the object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confirm that to the best of their knowledge, information and belief, as at the date of this prospectus, they do not consider that the Company has adopted any anti-competitive conduct described in the Competition Ordinance and will ensure that the Company continues to act in compliance with the Competition Ordinance. However, there may be uncertainties on the full effect of the rules in respect of compliance, infringement, and its effect on our business in particular when tendering is involved in securing contracts. We may face difficulties and may need to incur legal costs in ensuring our compliance with the rules. If we face any complaints of infringement of the Competition Ordinance, we may incur substantial legal costs and may result in business disruption and/or negative media coverage, which could adversely affect our business, results of operations and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and our reputation and could result in a loss of your investment in Intercont’s Class A Ordinary Shares, especially if such matter cannot be addressed and resolved favorably.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and reporting,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and our business. If we become the subject of any unfavorable allegations, whether such allegations are proven to be true or untrue, we may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Intercont’s Class A Ordinary Shares could be rendered worthless. In addition, major issues with other U.S. listed Chinese companies in the future, could have a negative effect on the value of your investment, even though the Company is not involved.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for Intercont’s Class A Ordinary Shares could be adversely affected by increased tensions between the United States and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Recently there have been heightened tensions in the economic and political relations between the U.S. and China. On June 30, 2020, the Standing Committee of the PRC National People’s Congress issued the Law of the PRC on Safeguarding National Security in the Hong Kong Special Administrative Region. This law defines the duties and government bodies of Hong Kong for safeguarding national security and four categories of offences — secession, subversion, terrorist activities and collusion with a foreign country or external elements to endanger national security — and their corresponding penalties. On July 14, 2020, the U.S. President signed the Hong Kong Autonomy Act, or HKAA, into law, authorizing the U.S. administration to impose blocking sanctions against individuals and entities who are determined to have materially contributed to the erosion of Hong Kong’s autonomy. The HKAA further authorizes secondary sanctions, including the imposition of blocking sanctions, against foreign financial institutions that knowingly conduct a significant transaction with foreign persons sanctioned under this authority. The imposition of sanctions such as those provided in the HKAA is in practice discretionary and highly political, especially in a relationship as extensive and complex as that between the U.S. and China. It is difficult to predict the full impact of the HKAA on Hong Kong and companies like us. Furthermore, legislative or administrative actions in respect of Sino-U.S. relations could cause investor uncertainty for affected issuers, including us, and the market price of Intercont’s Class A Ordinary Shares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do not have any operations in the mainland of China. As a result, the laws and regulations of the PRC do not currently have any material impact on our business, financial condition and results of operations. However, as we operate in Hong Kong, a special administrative region of China, there is no guarantee that if certain existing or future laws of the PRC become applicable to a company such as us, it will not have a material adverse impact on our business, financial condition and results of operations and/or our ability to offer or continue to offer securities to investors, any of which may cause the value of such securities to significantly decline or be worthless.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the Basic Law,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and so do not apply directly to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sz w:val="20"/>
        </w:rPr>
        <w:t>o</w:t>
      </w:r>
      <w:r>
        <w:rPr>
          <w:rFonts w:ascii="Times New Roman PS Std;serif" w:hAnsi="Times New Roman PS Std;serif"/>
          <w:b w:val="false"/>
          <w:i w:val="false"/>
          <w:caps w:val="false"/>
          <w:smallCaps w:val="false"/>
          <w:sz w:val="20"/>
        </w:rPr>
        <w:t>n the other hand, the laws and regulations in the PRC are evolving, and their enactment timetable, interpretation and implementation involve significant uncertainties.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the Hong Kong Subsidiaries and us, and as to the possibilities that Chinese government may exercise significant oversight over the conduct of business in Hong Kong. To the extent any PRC laws and regulations become applicable to us, we may be subject to the risks and uncertainties associated with the legal system in the PRC, including with respect to the enforcement of laws and the possibility of changes of rules and regulations with little or no advance notice.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become subject to the laws and regulations of the PRC to the extent we commence business and customer facing operations in the mainland of China as a result of any future acquisition, expansion or organic growth.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Intercont’s Class A Ordinary Shares and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assumed offering price of $0.79 per Unit constitutes a significant discount to the current market price of our Class A Ordinary Shares, our Class A Ordinary Share price may suffer immediate decline and existing shareholders may suffer significant dilution after completion of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6, 2026, the last reported sale price of our Class A Ordinary Shares on Nasdaq was $2.87 per Class A Ordinary Shares. Our assumed offering price of $0.79 per Unit constitutes a significant discount to our last reported sale price. Although the public offering price for the securities in this offering will be determined at the time of pricing, if the final offering price is determined to be at a figure that constitutes a significant discount to the market price of our Class A Ordinary Shares, such significant discount may have immediate negative impact on the market price of our Class A Ordinary Shares, causing our share price to immediately decline after completion of the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final public offering price will be determined through negotiation between us, the Placement Agent, and the investors based upon a number of factors, including our history and prospects, the stage of development of our business, our business plans for the future and the extent to which they have been implemented, an assessment of our management, the industry in which we operate, our past and present operating results, the previous experience of our executive officers and the general conditions of the securities markets at the time of the offering. In particular, we believe that the final offering price ultimately depends on our assessment of investors’ sentiment in our shares and we consider, weigh and prioritize this factor as the utmost important factor in determining our assumed offering price as well as final offering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had 1,437,740 Class A Ordinary Shares and 206,598.04 Class B Ordinary Shares issued and outstanding, and we are offering up to an aggregate of 8,000,000 Units. Our existing shareholders may suffer significant dilution after completion of this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our Class A Ordinary Shares currently trade at a market price well above the assumed offering price of $0.79 per Class A Ordinary Share, the daily trading volume and turnover is insignificant when compared to the number of Class A Ordinary Shares we are offering to potential investors under this offering. It was therefore essential for us to determine an assumed offering price that matches with our assessment of the investors’ sentiment given the significant number of Class A Ordinary Shares we are offering as opposed to our current market price which has low correlation to the actual value of our securities given the thin trading volume and turnover. After deducting the estimated Placement Agent commissions and estimated offering expenses payable by us, we expect to receive net proceeds of approximately $5,670,000 from this offering, based on an assumed offering price of $0.79 per Class A Ordinary Share. Even if we raised the offering amount in this offering, we may not be able to fully implement our future business plans.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prices of Intercont’s Class A Ordinary Shares are likely to exhibit high volatility and could undergo wide fluctuations due to factors beyond our control. Such fluctuations may result from broad market and industry influences, including the performance and volatility of market prices or the financial results of other publicly listed companies based in Hong Kong or mainland China. Some of these companies have witnessed significant volatility post their initial public offerings, with instances of substantial price declines in the trading of their securities. The trading performances of securities from other Hong Kong and Chinese companies subsequent to their offerings may impact investor sentiments toward U.S.-listed companies based in Hong Kong, thereby affecting the trading performance of Intercont’s Class A Ordinary Shares, irrespective of our actual operational performance.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any adverse news or perceptions regarding inadequate corporate governance practices, fraudulent accounting, corporate structure, or other matters concerning Hong Kong and Mainland Chinese companies may also negatively influence investor sentiments toward companies in these regions, including us, even if we have not engaged in any inappropriate activities. Additionally, securities markets may undergo significant price and volume fluctuations unrelated to our operational performance, potentially having a material and adverse impact on the trading price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above factors, the price and trading volume of Intercont’s Class A Ordinary Shares may be highly volatile due to multiple factors,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developments affecting us or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variations in our revenues, profit, and cash flow;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general market reactions and financial market fluctuation due to the continuous Russia-Ukraine conflicts;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economic performance or market valuations of other financial services firms; political, social and economic conditions of the PRC and Hong Kong;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fluctuations in our quarterly results of operations and changes or revisions of our expected results;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of exchange rates among Hong Kong dollar, Renminbi, and the U.S. dollar;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financial estimates by securities research analysts;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detrimental negative publicity about us, our services, our officers, directors, major shareholders, other beneficial owners, our business partners, or our industry;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us or our competitors of new service offerings, acquisitions, strategic relationships, joint ventures, capital raisings or capital commitments;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additions to or departures of our senior management;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 or regulatory proceedings involving us, our officers, directors, or major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release or expiry of lock-up or other transfer restrictions on our outstanding Class A Ordinary Shares;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or perceived potential sales of additional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factors above could lead to substantial and abrupt changes in the trading volume and price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since this offering is being conducted on a “best-efforts” basis and the actual public offering price per Class A Ordinary Share was determined through negotiations by and among the Placement Agent, the investors, and us at the time of pricing and, as is typical, is at a discount to the then-current, per-share market price of our Class A Ordinary Shares, these factors may also negatively affect the market price of our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instances have seen extreme surges in stock prices followed by rapid declines and heightened volatility in stock prices, particularly among companies with relatively smaller public floats that recently went public. As a relatively small-capitalization company with a modest public float, we may encounter increased stock price volatility, significant price surges, lower trading volume, and reduced liquidity compared to larger-cap companies. Specifically, Intercont’s Class A Ordinary Shares may be susceptible to swift and substantial price volatility, low trade volumes, and significant spreads between bid and ask prices. This volatility, including any stock run-up, may not be linked to our actual or anticipated operational performance, financial health, or prospects, posing challenges for potential investors in assessing the rapidly changing value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if trading volumes of Intercont’s Class A Ordinary Shares are low, individuals trading in relatively small quantities may easily impact share prices. This low trade volume could also result in substantial price fluctuations, with large percentage changes occurring within a single trading day. Shareholders may face difficulties in quickly liquidating their investment or may be compelled to sell at reduced prices due to low trading volume. Overall market fluctuations and broader economic and political conditions may also adversely affect the market price of Intercont’s ordinary share. As a result of such volatility, investors may incur losses on their investment in Intercont’s ordinary share. A decline in the market price of Intercont’s Class A Ordinary Shares could also negatively impact Intercont’s ability to issue additional Class A Ordinary Shares or other securities and obtain additional financing in the future. There is no guarantee that an active market for Intercont’s ordinary share will develop or be sustained. If an active market does not emerge, holders of Intercont’s Ordinary Share may struggle to sell their shares promptly or may be unable to sell them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shareholders of public companies have frequently initiated securities class action lawsuits against those companies following periods of market price instability. If we were to become involved in such a lawsuit, it could divert a substantial portion of our management’s attention and resources from our business operations and necessitate significant expenditures to defend against the suit, potentially impacting our results of operations. Regardless of the suit’s success, it could harm our reputation and limit our ability to raise capital in the future. Moreover, if a claim against us is successful, we may be required to pay substantial damages, which could have a material adverse effect on our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sale or availability for sale of substantial amounts of our Class A Ordinary Shares could adversely affect their market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Class A Ordinary Shares held by our existing shareholders may be sold in the public market in the future subject to the restrictions in Rule 144 and Rule 701 under the Securities Act. We cannot predict what effect, if any, market sales of securities held by our significant shareholders or any other shareholder or the availability of these securities for future sale will have on the market price of our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do not intend to pay dividends for the foreseeable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any future earnings to finance the operation and expansion of our business, and we do not expect to declare or pay any dividends in the foreseeable future. As a result, you may only receive a return on your investment in our Class A Ordinary Shares if the market price of our Class A Ordinary Shares increases.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or reports about our business, or if the publish a negative report regarding our Class A Ordinary Shares, the price of our Class A Ordinary Shares and trading volume could decline.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opportunity estimates and growth forecasts included in this prospectus are subject to significant uncertainty and are based on assumptions and estimates that may not prove to be accurate. The variables that go into the calculation of our market opportunities are subject to change over time, and there is no guarantee that any particular number or percentage of addressable companies covered by our market opportunities estimates will purchase our products and solutions at all or generate any particular level of revenues for us. Even if the market in which we compete meets the size estimates and growth forecasted in this prospectus, our business could fail to grow for a variety of reasons, including reasons outside of our control, such as competition in our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our Class A Ordinary Shares could be subject to rapid and substantial volatility, and such volatility may make it difficult for prospective investors to assess the rapidly changing value of our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instances of extreme stock price run-ups followed by rapid price declines and strong stock price volatility with recent initial public offerings,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 In particular, our Class A Ordinary Shares may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our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Ordinary Shares. A decline in the market price of our Class A Ordinary Shares also could adversely affect our ability to issue additional shares of Class A Ordinary Shares and our ability to obtain additional financing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lack of effective internal controls over financial reporting may affect our ability to accurately report our financial results or prevent fraud which may affect the market for and price of our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implement Section 404 of the Sarbanes-Oxley Act of 2002, the SEC adopted rules requiring public companies to include a report of management on the company’s internal control over financial reporting. Prior to filing the registration statement of which this prospectus is a part, we were not subject to these rules. As a result, we do not have in place effective disclosure controls and procedures or internal controls over financial reporting. We will be subject to the requirement that we maintain internal controls and that management perform periodic evaluation of the effectiveness of the internal controls. Effective internal control over financial reporting is important to prevent fraud. As a result, our business, financial condition, results of operations and prospects, as well as the market for and trading price of our Class A Ordinary Shares, may be materially and adversely affected if we do not have effective internal controls. We do not presently have the financial resources or personnel to develop or implement systems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would provide us with the necessary information on a timely basis so as to be able to implement financial controls. As a result, we may not discover any problems in a timely manner and current and potential shareholders could lose confidence in our financial reporting, which would harm our business and the trading price of our Class A Ordinary Shares. The absence of internal controls over financial reporting may inhibit investors from purchasing our shares and may make it more difficult for us to raise funds in a debt or equity financing.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HFCAA, was enacted on December 18, 2020. The HFCAA states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United States. On March 24, 2021, the SEC adopted interim final rules relating to the implementation of certain disclosure and documentation requirements of the HFCAA. A company will be required to comply with these rules if the SEC identifies it as having a “non-inspection” year under a process to be subsequently established by the SEC. The SEC is assessing how to implement other requirements of the HFCAA, including the listing and trading prohibition requirements described above.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years instead of three consecutive years.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Determination Report which found that the PCAOB is unable to inspect or investigate completely registered public accounting firms headquartered in: (i) China, and (ii) Hong Kong, a Special Administrative Region of the PRC, because of a position taken by one or more authorities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26, 2022, the PCAOB announced and signed a Statement of Protocol (the “Protocol”) with the China Securities Regulatory Commission and the Ministry of Finance of the People’s Republic of China. The Protocol provides the PCAOB with: (1) sole discretion to select the firms, audit engagements and potential violations it inspects and investigates, without any involvement of Chinese authorities; (2) procedures for PCAOB inspectors and investigators to view complete audit work papers with all information included and for the PCAOB to retain information as needed; (3) direct access to interview and take testimony from all personnel associated with the audits the PCAOB inspects or investigates.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2022, the PCAOB issued a new Determination Report which: (1) vacated the December 16, 2021 Determination Report; and (2) concluded that the PCAOB has been able to conduct inspections and investigations completely in the PRC in 2022. The December 15, 2022 Determination Report cautions, however, that authorities in the PRC might take positions at any time that would prevent the PCAOB from continuing to inspect or investigate completely. As required by the HFCAA, if in the future the PCAOB determines it no longer can inspect or investigate completely because of a position taken by an authority in the PRC, the PCAOB will act expeditiously to consider whether it should issue a new determination.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former auditor, UHY, as an auditor of companies that are traded publicly in the U.S. and a firm registered with the PCAOB, is subject to laws in the U.S. pursuant to which the PCAOB conducts regular inspections to assess their compliance with the applicable professional standards. UHY is not among the PCAOB-registered public accounting firms registered in the mainland of China or Hong Kong that are subject to PCAOB’s determination on December 16,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2021 of having been unable to inspect or investigate completely. We are not aware of any reasons to believe or conclude that UHY would not permit an inspection by the PCAOB or that it may not be subject to such inspection. Our current auditor, Assentsure, as an auditor of companies that are traded publicly in the U.S. and a firm registered with the PCAOB, is subject to laws in the U.S. pursuant to which the PCAOB conducts regular inspections to assess their compliance with the applicable professional standards. Assentsure is not among the PCAOB-registered public accounting firms registered in the mainland of China or Hong Kong that are subject to PCAOB’s determination on December 16, 2021 of having been unable to inspect or investigate completely. We are not aware of any reasons to believe or conclude that Assentsure would not permit an inspection by the PCAOB or that it may not be subject to such inspection. However, given the recent developments, we cannot assure you whether PCAOB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Intercont’s Class A Ordinary Shares could still be delisted and prohibited from being traded over-the-counter under the HFCAA if the PCAOB determines in the future that it is unable to fully inspect or investigate our auditor which has a presence in China. Furthermore, there is no guarantee that future audit reports will be prepared by auditors that are completely inspected by the PCAOB, and, as such, future investors may be deprived of such inspections, which could result in limitations or restrictions to our access of the U.S. capital markets.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2023, the CSRC issued the Trial Measures, which became effective on March 31, 2023. The CSRC also circulated Supporting Guidance Rules No. 1 through No. 5, Notes on the Trial Measures, Notice on Administration Arrangements for the Filing of Overseas Listings by Domestic Enterprises and relevant CSRC Answers to Reporter Questions, or collectively, the Guidance Rules and Notice, on CSRC’s official website, on the same day. The Trial Measures, together with the Guidance Rules and Notice (collectively, the “New Overseas Listing Rules”), reiterate the basic principles of the Measures for the Filing of Overseas Securities Offering and Listing by Domestic Companies (Draft for Comments) and impose substantially the same requirements for the overseas securities offering and listing by domestic enterprises. Under the New Overseas Listing Rules, domestic enterprises conducting overseas securities offering and listing, either directly or indirectly, shall complete filings with the CSRC pursuant to the New Overseas Listing Rules’ requirements within three business days following the submission of application for an initial public offering or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and (ii) the determination as to whether or not an overseas offering and listing by a PRC domestic company is an “indirect overseas offering and listing”, shall be made on a “substance over form” basis (the “Discretional Clause”).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24, 2023, the CSRC, Ministry of Finance of the PRC, National Administration of State Secrets Protection and National Archives Administration of China jointly issued the Strengthening the Confidentiality and Archive Management Work Relating to the Overseas Securities Offering and Listing by Domestic Enterprises (“Confidentiality and Archives Administration Provisions”), which came into effectiveness on March 31, 2023. The Confidentiality and Archives Administration Provisions require, among others, that PRC domestic enterprises seeking to offer and list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files or copies of important preservation value to the state and society shall be subject to corresponding procedures in accordance with relevant laws and regulations. We do not believe we are subject to the filing and approval requirements because we have no business operation in or material connection with the mainland of China, and the offering of Intercont’s Class A Ordinary Shares will likely not be regarded as an indirect overseas offering by PRC domestic enterprises. However, we cannot rule out the possibility that CSRC would take a different view when determining whether to apply the Discretional Clause on us. Although we do not believe we are subject to the filing and approval requirements because we have no business operation in or material connection with the mainland of China, there are uncertainties regarding the interpretation and implementation of the New Overseas Listing Rules. If we become subject to the New Overseas Listing Rules, we cannot assure you that we will be able to timely make such filing, in which case we may face sanctions by the CSRC or other PRC regulatory agencies for failure to timely file for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2021, the CAC along with other PRC regulatory authorities, has promulgated a series of regulations requiring data processors and businesses with access to a large amount of personal data to become subject to regulatory reviews and other administrative measures. For example, on July 7, 2022, the CAC promulgated the Measures on Security Assessment of Cross-border Data Transfer, which became effective on September 1, 2022. The data export measures require that any data processor, who processes or exports personal information exceeding a certain volume threshold pursuant to the measures, shall apply for a security assessment by the CAC before transferring any personal information abroad, including the following circumstances: (i) important data will be provided overseas by any data processor; (ii) personal information will be provided overseas by any operator of critical information infrastructure or any data processor who processes the personal information of more than 1,000,000 individuals; (iii) personal information will be provided overseas by any data processor who has provided the personal information of more than 100,000 individuals in the aggregate or has provided the sensitive personal information of more than 10,000 individuals in the aggregate since January 1 of last year; and (iv) other circumstances where the security assessment is required as prescribed by the CAC. A data processor shall, before applying for the security assessment of an outbound data transfer, conduct a self-assessment of the risks involved in the outbound data transfer. The security assessment of a cross-border data transfer shall focus on assessing the risks that may be brought about by the cross-border data transfer concerning national security, public interests, or the lawful rights and interests of individuals or organizations. Although we do not believe we are subject to such requirements because we do not have any business operations in the mainland of China, nor do we possess or process a large amount of personal information. However, we may become subject to a variety of PRC laws and other obligations regarding cybersecurity and data protection, and any failure to comply with applicable laws and obligations could have a material adverse effect on our business and our listing.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existing shareholders have control over our Company and their interests may not be aligned with the interests of our other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Muchun Zhu, our Chairman, owns an aggregate of 81.27% of the total voting power of our outstanding shares as of the date of this prospectus. As a result, she has control over our business, including significant corporate actions such as mergers, consolidations, sales of all or substantially all of our assets, election of directors and other significant corporate 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Class A Ordinary Shares. These actions may be taken even if they are opposed by our other shareholders. In addition, the significant concentration of share ownership may adversely affect the trading price of the Class A Ordinary Shares due to investors’ perception that conflicts of interest may exist or arise. For more information regarding our principal shareholders and their affiliated entities, see “</w:t>
      </w:r>
      <w:r>
        <w:rPr>
          <w:rFonts w:ascii="Times New Roman PS Std;serif" w:hAnsi="Times New Roman PS Std;serif"/>
          <w:b w:val="false"/>
          <w:i/>
          <w:caps w:val="false"/>
          <w:smallCaps w:val="false"/>
          <w:sz w:val="20"/>
        </w:rPr>
        <w:t>Principal Shareholders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Volatility in Intercont’s Class A Ordinary Shares price may subject us to securities litigation.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compared to seasoned issuers, the market for Intercont’s Class A Ordinary Shares may experience significant price volatility, and we anticipate that Intercont’s share price may be more volatile than a seasoned issuer for the foreseeable future. Following times of volatility in the market price of a firm’s Class A Ordinary Shares, plaintiffs have frequently started securities class action litigation against that company in the past. We may, in the future, be the target of similar litigation. Securities litigation could result in substantial costs and liabilities and could divert management’s attention and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as a shareholder, as Cayman Islands law provides substantially less protection when compared to the laws of the United States and it may be difficult for a shareholder of Intercont to effect service of process or to enforce judgements obtained in the United States courts.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corporate affairs are governed by its memorandum and articles of association and by the Cayman Islands Companies Act (As Revised) (“Companies Act”) and common law of the Cayman Islands. The rights of shareholders to take legal action against Intercont’s directors and Intercont, actions by minority shareholders and the fiduciary responsibilities of Intercont’s directors to Intercont under Cayman Islands law are to a large extent governed by the common law of the Cayman Islands. The common law of the Cayman Islands is derived in part from comparatively limited judicial precedent in the Cayman Islands as well as from English common law. Decisions of the Privy Council (which is the final court of appeal for British Overseas Territories such as the Cayman Islands) on appeal from the Cayman Islands are binding on a court in the Cayman Islands. Decisions of the English courts, and particularly the Supreme Court of the United Kingdom and the Court of Appeal are generally of persuasive authority but are not binding on the courts of the Cayman Islands. The rights of Intercont’s shareholders and the fiduciary responsibilities of the directors of Intercont under Cayman Islands law are not as clearly established as they would be under statutes or judicial precedents in the U.S. In particular, the Cayman Islands has a less developed body of securities laws as compared to the U.S., and provide significantly less protection to investors. In addition, Cayman Islands companies may not have standing to initiate a shareholder derivative action before the U.S. federal courts. The Cayman Islands courts are also unlikely to impose liabilities against us in original actions brought in the Cayman Islands, based on certain civil liability provisions of U.S. securities laws.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all of our operations are conducted outside the U.S., and substantially all of our assets are located outside the U.S. All of our directors and officers are nationals or residents of jurisdictions other than the U.S. and a substantial portion of their assets are located outside the U.S. As a result, it may be difficult for a shareholder to effect service of process within the U.S. upon these persons, or to enforce against us or them judgments obtained in U.S. courts, including judgments predicated upon the civil liability provisions of the securities laws of the U.S. or any state in the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our shareholders may have more difficulty in protecting their interests through actions against us or our officers, directors or major shareholders than would shareholders of a corporation incorporated in a jurisdiction in the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Shareholders will suffer substantial dilution and the Company will not receive any proceeds if the holders of the Warrants elect to exercise such Warrants using the zero exercise price option.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issued as part of this offering contain a “zero exercise price option” provision which provides that a holder may effect a zero exercise price option at any time while the Warrants are outstanding following the initial issuance date. Under the zero exercise price option, the holder of the Warrants, has the right to receive the number of Class A Ordinary Shares set forth in the applicable Warrant, which will be more than such number of Class A Ordinary Shares that is issuable upon cash exercise or cashless exercise. Under this provision, the total number of Class A Ordinary Shares that may be issued upon exercise of all the Warrants if the zero exercise price warrant is utilized is up to 16,000,000 Class A Ordinary Shares. This is in addition to the up to 8,000,000 Class A Ordinary Shares that may be issued as part of the Units in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following the exercise of all Warrants, the number of issued and outstanding Class A Ordinary Shares could increase from 1,437,740 as of the date of this prospectus to as many as 25,437,740 (assuming the Warrants issued in this offering are exercised in full under the zero exercise price option), which represents an increase of approximately 1,669%.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stated cash exercise price at the initial exercise price of $0.869 per Class A Ordinary Share and the cashless exercise option based on the same initial exercise price, the zero exercise price option allows exercise of the Warrants for no additional consideration. In addition, the number of Class A Ordinary Shares that investors will receive under the zero exercise price option will be more than such number of Class A Ordinary Shares that is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multiplier effect could result in a substantially larger number of shares being issued, leading to a greater degree of dilution and potentially decreasing the value of existing shareholders’ investments.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cannot continue to satisfy the continued listing requirements and other rules of the Nasdaq Global Market, our securities may be delisted, which could negatively impact the price of our securities and your ability to sell them.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Ordinary Shares are listed on the Nasdaq Capital Market. In order to maintain our listing on the Nasdaq Capital Market, we are required to comply with certain rules of the Nasdaq Capital Market, including those regarding minimum share price, minimum market value of publicly held shares, and various additional requirements. We may not be able to continue to satisfy these requirements and applicable rules. If we are unable to satisfy the Nasdaq Capital Market criteria for maintaining our listing, our securities could be subject to delisting.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Previously, on December 15, 2025, the Company received a notification letter (the “Notification Letter”) from the Listing Qualifications Department of the Nasdaq Stock Market LLC, notifying the Company that it is currently not in compliance with the minimum bid price requirement set forth under Nasdaq Listing Rule 5550(a)(2). The Notification Letter is based upon the fact that the closing bid price of the Company’s ordinary shares (“Ordinary Shares”) was below $1.00 per share for a period of 30 consecutive business days from October 31, 2025 to December 12, 2025. On April 17, 2026, the Company received a notification from Nasdaq that the Company had regained compliance with Nasdaq Listing Rule 5550(a)(2), and the matter was closed. Given that a substantial number of Class A Ordinary Shares will be sold in this Offering, this Offering could cause a decrease in the bid price of our Class A Ordinary Shares and the Company may fail to meet the continued listing requirements again.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 2025, Nasdaq filed rule proposals with SEC to amend its initial and continuing listing standards. Nasdaq proposed an accelerated process for suspending and delisting companies with a listings deficiency that also have a Market Value of Listed Securities below $5 million. Nasdaq is submitting the proposed rules to the SEC for review. Regarding the accelerated process for suspending and delisting companies, Nasdaq is proposing to implement the new requirements 60 days after SEC approval.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Nasdaq Capital Market subsequently delists our securities from trading, we could face significant consequences,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availability for market quotations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with respect to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determination that our Class A Ordinary Share is a “penny stock,” which will require brokers trading in our Class A Ordinary Share to adhere to more stringent rules and possibly result in a reduced level of trading activity in the secondary trading market for our Class A Ordinary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limited amount of news and analyst coverage;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issue additional securities or obtain additional financing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This is a best efforts offering, no minimum number or dollar amount of securities is required to be sold, and we may not raise the amount of capital we believe is required for our business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agent’s fees, and proceeds to us are not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 number of securities sufficient to fund our business plan. Thus, we may not raise the amount of capital we believe is required for our operations in the short term and may need to raise additional funds, which may not be available or available on terms acceptable to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future dilution as a result of future equity offerings or acquisitions.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raise additional capital, we may in the future offer additional Class A Ordinary Shares or other securities convertible into or exchangeable for our Class A Ordinary Shares at prices that may not be the same as the price per share in this offering. We may sell shares or other securities in any future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our Class A Ordinary Shares, in future transactions or acquisitions may be higher or lower than the price per share paid by investors in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will have broad discretion over the use of the net proceeds from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grants our management broad discretion in the application of the net proceeds. There are no contractual restrictions on how the management can allocate the net proceeds from this offering, which may be used at their discretion for general corporate purposes, including but not limited to, working capital, operational expenses, and repayment of debt. While management intends to use the net proceeds in a manner that furthers our business objectives and maximizes the value for our investors, investors will have limited visibility into the specific uses of the net proceeds. This wide-ranging discretion allows management to allocate funds to areas that investors might not deem a priority or in their best interest. Consequently, the success of the investment is substantially dependent on the judgment of our management with regard to the application of the net proceeds. Investors should be aware that the broad discretion in the use of proceeds increases the risk of their investment, as it may reduce the ability to assess the viability and potential return of the investment. See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FINRA sales practice requirements may limit a shareholder’s ability to buy and sell our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prior suitability rules of the Financial Industry Regulatory Authority, Inc. (“FINRA”).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that the investment is in the customer’s “best interest,” and meet other SEC requirements. Both SEC Regulation Best Interest and FINRA’s suitability requirements may make it more difficult for broker-dealers to recommend that their customers buy speculative, low-priced securities. They may affect investing in our Class A Ordinary Shares, which may have the effect of reducing the level of trading activity in our securities. As a result, fewer broker-dealers may be willing to make a market in our Class A Ordinary Shares, reducing a shareholder’s ability to resell Class A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investment in our securities is speculative, and there can be no assurance of any return on any such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Investors are cautioned that an investment in the securities offered hereby is highly speculative and involves a significant degree of risk. The success of our business and the ability to achieve our business goals and objectives, as outlined in this prospectus, are subject to numerous uncertainties, contingencies and risks. As such, there is no assurance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will realize a return on their investment or that they will not lose their entire investment. Potential investors should carefully consider whether such a speculative investment is suitable for their financial situation and investment objectives before purchasing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use the proceeds of this offering in ways with which you may not agree.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our Class A Ordinary Shares, nor that these net proceeds will be placed only in investments that generate income or appreciate in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public market for the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offered in this offering are not and will not be listed on any securities exchange. Also, we do not intend to apply to have the Warrants listed on any securities exchange. Consequently, there is no established public trading market for the Warrants, and we do not intend to list the Warrants on any national securities exchange or trading system. Accordingly, investors may find it difficult to dispose of, or to obtain accurate quotations as to the market value of the Warrants. This lack of a trading market could result in investors being unable to liquidate their investment in the warrants or to sell them at a price that reflects their value. The absence of a public market for these securities could also reduce the liquidity and market price of our Class A Ordinary Shares for which these warrants are exercisable. Investors should be prepared to bear the risk of investment in the Warrants indefinitely.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are no voting rights for the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the Warrants will not have the same voting rights as those associated with our ordinary shares and may have no voting rights with respect to the shares underlying the warrants until such shares are acquired upon exercise of the warrants. As a result, if such holders do not exercise their warrants, they will not have any influence over matters requiring shareholder approval during the period they hold the Warrants, as applicable.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Ownership interests of existing shareholders will be significantly diluted by the exercise of the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of the Warrants will increase the number of ordinary shares issued and outstanding, which will significantly dilute the ownership interests of existing shareholders. The amount of dilution, or the reduction in value to existing ordinary shares, is determined by the amount of shares ultimately obtained upon the exercise of the Warrants relative to the number of ordinary shares outstanding at the time of exercise.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terms of the Warrants may be adjusted.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Warrants, including the exercise price and the number of Class A Ordinary Shares issuable upon exercise, may be adjusted in certain circumstances, including in the event of share dividends, share splits, and similar transactions. While adjustments are generally intended to prevent dilution for holders of the Warrants, there is no assurance that such adjustments will fully protect the value of the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Warrants have beneficial ownership limitations.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the Warrants involves a significant risk due to the 4.99% (or 9.99% if the investor so elects) beneficial ownership limitation. The terms of the Warrants prohibit any single holder from exercising the warrants if such exercise would result in the holder beneficially owning more than 4.99% (or 9.99% if the investor so elects) of our outstanding Class A Ordinary Shares immediately after the exercise, as elected by the holder at the time of issuance of the warrants. This limitation may also hinder the holder’s ability to exercise the Warrants when it may be most advantageous to do so, which could affect the value of their investment.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holders of the Warrants elect to exercise such warrants using the cashless exercise option, we may not receive any meaningful amount of additional funds upon the exercise of the Warrant.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contain a cashless exercise provision which provides that a holder may effect a “cashless exercise”, if at the time of any exercise hereof there is no effective registration statement registering, or the prospectus contained therein is not available for the issuance of the warrant shares to the holder. Under the cashless exercise option, the holder of the Warrants shall be entitled to receive a number of Class A Ordinary Shares equal to the quotient obtained by dividing [(A-B) (X)] by (A), where (A) = trading price calculated based on provided formula; (B) = the exercise price of the Warrants, as adjusted hereunder; and (X) = the number of warrant shares that would be issuable upon exercise of such warrant by means of a cash exercise. Subject to customary adjustments for share dividends, splits or other changes in share capital, the maximum number of Class A Ordinary Shares issuable upon cashless exercise of the Warrants is 16,000,000. Accordingly, we will not receive any or any meaningful additional funds upon the cashless exercise of the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 is not likely to pay cash dividends in the foreseeable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currently intends to retain any future earnings for use in the operation and expansion of the business of itself and its subsidiaries. Accordingly, Intercont does not expect to pay any cash dividends in the foreseeable future but will review this policy as circumstances dictate. Should Intercont determine to pay dividends in the future, its ability to do so will depend upon the receipt of dividends or other payments from its subsidiaries.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 is a foreign private issuer within the meaning of the rules under the Exchange Act, and as such it is exempt from certain provisions applicable to United States domestic public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foreign private issuer within the meaning of the rules under the Exchange Act. As such, it is exempt from certain provisions applicable to United States domestic public companies. For example: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Intercont is not required to provide as many Exchange Act reports, or as frequently, as a domestic public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interim reporting, Intercont is permitted to comply solely with its home country requirements, which are less rigorous than the rules that apply to domestic public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Intercont is not required to provide the same level of disclosure on certain issues, such as executive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Intercont is exempt from provisions of Regulation FD aimed at preventing issuers from making selective disclosures of material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to comply with the sections of the Exchange Act regulating the solicitation of proxies, consents or authorizations in respect of a security registered under the Exchange Act;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Intercont is not required to comply with Section 16 of the Exchange Act requiring insiders to file public reports of their share ownership and trading activities and establishing insider liability for profits realized from any “short-swing” trading transaction. On December 18, 2025, the U.S. President signed into law the Holding Foreign Insiders Accountable Act (HFIAA), which eliminates the exemption to comply with Section 16 of the Exchange Act. The new law has taken effect on March 18, 2026. Directors and officers of foreign private issuers are required to publicly report their ownership in, and transactions involving, the applicable foreign private issuer’s securities to the SEC on Forms 3, 4, and 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Intercont is required to file an annual report on Form 20-F within four months of the end of each fiscal year. In addition, Intercont intends to file reports on Form 6-K as a foreign private issuer. However, the information Intercont is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Intercont is also an “emerging growth company” within the meaning of the Securities Act, which status affords it certain reduced disclosure requirements. The reduced disclosure requirement by being an emerging growth company overlap with some of those being a foreign private issuer, including reduced disclosure obligations regarding executive compensation in our periodic reports and proxy statements. Thus, even if Intercont no longer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qualifies as an emerging growth company but remain a foreign private issuer, it will continue to be exempt from the more stringent compensation disclosures required of companies that are neither emerging growth companies nor foreign private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an “emerging growth company” under applicable laws, we are subject to reduced disclosure requirements. Such reduced disclosure may make Intercont’s Class A Ordinary Shares less attractive to investors.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 long as we remain an “emerging growth company”, as defined in the JOBS Act,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Intercont’s Class A Ordinary Shares less attractive as a result, there may be a less active trading market for Intercont’s Class A Ordinary Shares and our share price may be more volatile.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0"/>
      <w:bookmarkEnd w:id="5"/>
      <w:r>
        <w:rPr>
          <w:rFonts w:ascii="Times New Roman PS Std;serif" w:hAnsi="Times New Roman PS Std;serif"/>
          <w:b/>
          <w:i w:val="false"/>
          <w:caps w:val="false"/>
          <w:smallCaps w:val="false"/>
          <w:sz w:val="20"/>
        </w:rPr>
        <w:t xml:space="preserve">SPECIAL NOTE REGARDING FORWARD-LOOKING STATEMENTS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“Regulations.” Known and unknown risks, uncertainties and other factors, including those listed under “Risk Factors,” may cause our actual results, performance or achievements to be materially different from those expressed or implied by the forward-looking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growth of the global maritime shipping industry and the pulping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demand for and market acceptance of our platform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our bases of merchants and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to invest in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our industry;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relevant government policies and regulations relating to our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industry to grow at the projected rate may have a material and adverse effect on our business and the market price of Intercont’s Class A Ordinary Shares. In addition, rapidly changing nature of this industry results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9"/>
      <w:bookmarkEnd w:id="6"/>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we will receive net proceeds from this offering of approximately $5.7 million, after deducting the placement agent’s commissions, the non-accountable expense allowance, the reimbursement of the placement agent’s offering-related expenses up to $100,000 and estimated other offering expenses payable by us, and none of the Warrants issued in this offering are exercised. However, because this is a best-efforts offering and there is no minimum offering amount required as a condition to the closing of this offering, the actual offering amount, placement agent fees, and net proceeds to us are not presently determinable and may be substantially less than the maximum amounts set forth on the cover page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use all of the net proceeds to us from this offering for general working capital purposes and other general corporate purposes.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To the extent that the net proceeds we receive from this offering are not immediately used for the above purposes, we intend to invest our net proceeds in short-term, interest-bearing bank deposits or debt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there is no minimum offering amount required as a condition to closing this offering, we may sell fewer than all or any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8"/>
      <w:bookmarkEnd w:id="7"/>
      <w:r>
        <w:rPr>
          <w:rFonts w:ascii="Times New Roman PS Std;serif" w:hAnsi="Times New Roman PS Std;serif"/>
          <w:b/>
          <w:i w:val="false"/>
          <w:caps w:val="false"/>
          <w:smallCaps w:val="false"/>
          <w:sz w:val="20"/>
        </w:rPr>
        <w:t xml:space="preserve">DIVIDEND POLICY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share premium, or other funds legally available for distribution,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does not have any present plan to pay any cash dividends on its Class A Ordinary Shares in the foreseeable future after this offering. We currently intend to retain most, if not all, of our available funds and any future earnings to operate and grow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holding company incorporated in the Cayman Islands. Intercont may rely on dividends from its subsidiaries for its cash requirements, including any payment of dividends to its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7"/>
      <w:bookmarkEnd w:id="8"/>
      <w:r>
        <w:rPr>
          <w:rFonts w:ascii="Times New Roman PS Std;serif" w:hAnsi="Times New Roman PS Std;serif"/>
          <w:b/>
          <w:i w:val="false"/>
          <w:caps w:val="false"/>
          <w:smallCaps w:val="false"/>
          <w:sz w:val="20"/>
        </w:rPr>
        <w:t xml:space="preserve">CAPITALIZATION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 as of December 31, 2025 as follows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actual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 forma basis giving effect to (i) the issuance of 119,000 Class A Ordinary Shares to White Lion Capital LLC for net proceeds of $213,186; (ii) cash receipt of $500,000 from Streeterville Capital, LLC for the second prepaid purchase and issuance of an aggregated of 296,953 shares to Streeterville Capital, LLC for conversion of convertible note and reverse split adjustment on shares outstanding; (iii) cash payment of $1,901,395 to Streeterville Capital, LLC for settlement of convertible note.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 forma as adjusted basis to reflect: on an as adjusted basis giving effect to (i) the issuance of 119,000 Class A Ordinary Shares to White Lion Capital LLC for net proceeds of $213,186; (ii) cash receipt of $500,000 from Streeterville Capital, LLC for the second prepaid purchase and issuance of an aggregated of 296,953 shares to Streeterville Capital, LLC for conversion of convertible note and reverse split adjustment on shares outstanding; (iii) cash payment of $1,901,395 to Streeterville Capital, LLC for settlement of convertible note; and (iv) the sale of 8,000,000 Units, each consisting of one Class A Ordinary Share and one Warrant to purchase one Class A Ordinary Share in this offering (assuming all Warrants to purchase Class A Ordinary Shares issued in this offering are exercised using zero exercise price) at a public offering price of $0.79 per Unit.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1,437,740 Class A Ordinary Shares and 206,598.04 Class B Ordinary Shares are issued and outstanding. Holders of Class A Ordinary Shares and Class B Ordinary Shares have the same rights except for voting and conversion rights. In respect of matters requiring a vote of all shareholders by way of poll, each holder of Class A Ordinary Shares is entitled to one vote per Class A Ordinary Share and each holder of Class B Ordinary Shares is entitled to 100 votes per Class B Ordinary Share. The Class A Ordinary Shares are not convertible into shares of any other class. The Class B Ordinary Shares are convertible into Class A Ordinary Shares at any time after issuance at the option of the holder on a one-to-one basis. The Class B Ordinary Shares are not being converted as part of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the following table in conjunction with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Management’s Discussion and Analysis of Financial Condition and Results of Operations</w:t>
      </w:r>
      <w:r>
        <w:rPr>
          <w:rFonts w:ascii="Times New Roman PS Std;serif" w:hAnsi="Times New Roman PS Std;serif"/>
          <w:b w:val="false"/>
          <w:i w:val="false"/>
          <w:caps w:val="false"/>
          <w:smallCaps w:val="false"/>
          <w:sz w:val="20"/>
        </w:rPr>
        <w:t>” and our financial statements and related notes included or incorporated by reference in this prospectus.</w:t>
      </w:r>
    </w:p>
    <w:tbl>
      <w:tblPr>
        <w:tblW w:w="10205" w:type="dxa"/>
        <w:jc w:val="left"/>
        <w:tblInd w:w="0" w:type="dxa"/>
        <w:tblLayout w:type="fixed"/>
        <w:tblCellMar>
          <w:top w:w="0" w:type="dxa"/>
          <w:left w:w="0" w:type="dxa"/>
          <w:bottom w:w="0" w:type="dxa"/>
          <w:right w:w="0" w:type="dxa"/>
        </w:tblCellMar>
      </w:tblPr>
      <w:tblGrid>
        <w:gridCol w:w="5514"/>
        <w:gridCol w:w="146"/>
        <w:gridCol w:w="1396"/>
        <w:gridCol w:w="146"/>
        <w:gridCol w:w="1396"/>
        <w:gridCol w:w="146"/>
        <w:gridCol w:w="1461"/>
      </w:tblGrid>
      <w:tr>
        <w:trPr/>
        <w:tc>
          <w:tcPr>
            <w:tcW w:w="551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54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55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c>
          <w:tcPr>
            <w:tcW w:w="146" w:type="dxa"/>
            <w:tcBorders/>
            <w:vAlign w:val="bottom"/>
          </w:tcPr>
          <w:p>
            <w:pPr>
              <w:pStyle w:val="TableContents"/>
              <w:bidi w:val="0"/>
              <w:spacing w:before="0" w:after="283"/>
              <w:jc w:val="left"/>
              <w:rPr/>
            </w:pPr>
            <w:r>
              <w:rPr/>
              <w:t> </w:t>
            </w:r>
          </w:p>
        </w:tc>
        <w:tc>
          <w:tcPr>
            <w:tcW w:w="14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as </w:t>
              <w:br/>
              <w:t>adjusted(1)</w:t>
            </w:r>
          </w:p>
        </w:tc>
      </w:tr>
      <w:tr>
        <w:trPr/>
        <w:tc>
          <w:tcPr>
            <w:tcW w:w="55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4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5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loan-noncurrent portion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c>
          <w:tcPr>
            <w:tcW w:w="146"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r>
      <w:tr>
        <w:trPr/>
        <w:tc>
          <w:tcPr>
            <w:tcW w:w="55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equity:</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left"/>
              <w:rPr/>
            </w:pPr>
            <w:r>
              <w:rPr/>
              <w:t> </w:t>
            </w:r>
          </w:p>
        </w:tc>
      </w:tr>
      <w:tr>
        <w:trPr/>
        <w:tc>
          <w:tcPr>
            <w:tcW w:w="55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$0.0025 par value, 39,793,402 shares authorized, 1,012,774 shares issued and outstanding as of December 31, 2025, actual; 1,437,740 shares issued and outstanding, pro forma; and 25,437,740 shares issued and outstanding, pro forma adjusted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3,594</w:t>
            </w:r>
          </w:p>
        </w:tc>
        <w:tc>
          <w:tcPr>
            <w:tcW w:w="146"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63,594</w:t>
            </w:r>
          </w:p>
        </w:tc>
      </w:tr>
      <w:tr>
        <w:trPr/>
        <w:tc>
          <w:tcPr>
            <w:tcW w:w="55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$0.0025 par value, 206,598 shares authorized, 206,598 shares issued and outstanding as of December 31, 2025 actual, pro forma and pro forma adjusted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c>
          <w:tcPr>
            <w:tcW w:w="146" w:type="dxa"/>
            <w:tcBorders/>
            <w:vAlign w:val="bottom"/>
          </w:tcPr>
          <w:p>
            <w:pPr>
              <w:pStyle w:val="TableContents"/>
              <w:bidi w:val="0"/>
              <w:spacing w:before="0" w:after="283"/>
              <w:jc w:val="left"/>
              <w:rPr/>
            </w:pPr>
            <w:r>
              <w:rPr/>
              <w:t> </w:t>
            </w:r>
          </w:p>
        </w:tc>
        <w:tc>
          <w:tcPr>
            <w:tcW w:w="14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r>
      <w:tr>
        <w:trPr/>
        <w:tc>
          <w:tcPr>
            <w:tcW w:w="55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14,897,248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16,046,782</w:t>
            </w:r>
          </w:p>
        </w:tc>
        <w:tc>
          <w:tcPr>
            <w:tcW w:w="146"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21,656,782 </w:t>
            </w:r>
          </w:p>
        </w:tc>
      </w:tr>
      <w:tr>
        <w:trPr/>
        <w:tc>
          <w:tcPr>
            <w:tcW w:w="55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9,685,281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7,464,081</w:t>
            </w:r>
          </w:p>
        </w:tc>
        <w:tc>
          <w:tcPr>
            <w:tcW w:w="146" w:type="dxa"/>
            <w:tcBorders/>
            <w:vAlign w:val="bottom"/>
          </w:tcPr>
          <w:p>
            <w:pPr>
              <w:pStyle w:val="TableContents"/>
              <w:bidi w:val="0"/>
              <w:spacing w:before="0" w:after="283"/>
              <w:jc w:val="left"/>
              <w:rPr/>
            </w:pPr>
            <w:r>
              <w:rPr/>
              <w:t> </w:t>
            </w:r>
          </w:p>
        </w:tc>
        <w:tc>
          <w:tcPr>
            <w:tcW w:w="14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7,464,081</w:t>
            </w:r>
          </w:p>
        </w:tc>
      </w:tr>
      <w:tr>
        <w:trPr/>
        <w:tc>
          <w:tcPr>
            <w:tcW w:w="55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24,585,578</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23,514,973</w:t>
            </w:r>
          </w:p>
        </w:tc>
        <w:tc>
          <w:tcPr>
            <w:tcW w:w="146"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29,184,973</w:t>
            </w:r>
          </w:p>
        </w:tc>
      </w:tr>
      <w:tr>
        <w:trPr/>
        <w:tc>
          <w:tcPr>
            <w:tcW w:w="55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Capitalization</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25,241,485</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24,170,880</w:t>
            </w:r>
          </w:p>
        </w:tc>
        <w:tc>
          <w:tcPr>
            <w:tcW w:w="146" w:type="dxa"/>
            <w:tcBorders/>
            <w:vAlign w:val="bottom"/>
          </w:tcPr>
          <w:p>
            <w:pPr>
              <w:pStyle w:val="TableContents"/>
              <w:bidi w:val="0"/>
              <w:spacing w:before="0" w:after="283"/>
              <w:jc w:val="left"/>
              <w:rPr/>
            </w:pPr>
            <w:r>
              <w:rPr/>
              <w:t> </w:t>
            </w:r>
          </w:p>
        </w:tc>
        <w:tc>
          <w:tcPr>
            <w:tcW w:w="14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29,840,880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16"/>
      <w:bookmarkEnd w:id="9"/>
      <w:r>
        <w:rPr>
          <w:rFonts w:ascii="Times New Roman PS Std;serif" w:hAnsi="Times New Roman PS Std;serif"/>
          <w:b/>
          <w:i w:val="false"/>
          <w:caps w:val="false"/>
          <w:smallCaps w:val="false"/>
          <w:sz w:val="20"/>
        </w:rPr>
        <w:t xml:space="preserve">DILUTION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the securities being offered in this offering, your ownership interest will be increased to the extent of the difference between the public offering price per share of our Class A Ordinary Shares and our pro forma as-adjusted net tangible book value per Class A Ordinary Share immediately after this offering. Such increase results from the fact that the public offering price per Class A Ordinary Share is substantially lower than the pro forma as-adjusted net tangible book value per Class A Ordinary Share attributable to the existing shareholders for our presently outstanding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voting and conversion rights. In respect of matters requiring a vote of all shareholders by way of poll, each holder of Class A Ordinary Shares is entitled to one vote per Class A Ordinary Share and each holder of Class B Ordinary Shares is entitled to 100 votes per Class B Ordinary Share. The Class A Ordinary Shares are not convertible into shares of any other class. The Class B Ordinary Shares are convertible into Class A Ordinary Shares at any time after issuance at the option of the holder on a one-to-one basis. The Class B Ordinary Shares are not being converted as part of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actual net tangible book value as of December 31, 2025, was $22.01 per ordinary share. Our proforma net tangible book value as of December 31, 2025, was $14.30 per ordinary share. Net tangible book value represents the amount of our total consolidated tangible assets, less the amount of our total consolidated liabilities. Dilution is determined by subtracting the net tangible book value per Class A Ordinary Share (as adjusted for the offering) from the public offering price per Class A Ordinary Share and after deducting the estimated offering expenses payable by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effect to the issuance and sale of 8,000,000 Class A Ordinary Shares offered in this offering at the assumed public offering price of $0.79 per Unit, after deducting the placement agent commissions, the non-accountable expense allowance, the reimbursement of the placement agent’s offering-related expenses up to $100,000 and the estimated other offering expenses payable by us and excluding the Class A Ordinary Shares underlying the Warrants, and all Warrants in this offering are exercised using zero exercise price option, our pro forma as-adjusted net tangible book value as of December 31, 2025 would have been approximately $1.14 per ordinary share. This represents an immediate decrease in net tangible book value of $13.16 per ordinary share to the existing shareholders, and an immediate increase in net tangible book value of $0.35 per ordinary share to investors purchasing Class A Ordinary Shares in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illustrates such dilution:</w:t>
      </w:r>
    </w:p>
    <w:tbl>
      <w:tblPr>
        <w:tblW w:w="10205" w:type="dxa"/>
        <w:jc w:val="left"/>
        <w:tblInd w:w="0" w:type="dxa"/>
        <w:tblLayout w:type="fixed"/>
        <w:tblCellMar>
          <w:top w:w="0" w:type="dxa"/>
          <w:left w:w="0" w:type="dxa"/>
          <w:bottom w:w="0" w:type="dxa"/>
          <w:right w:w="0" w:type="dxa"/>
        </w:tblCellMar>
      </w:tblPr>
      <w:tblGrid>
        <w:gridCol w:w="8284"/>
        <w:gridCol w:w="146"/>
        <w:gridCol w:w="403"/>
        <w:gridCol w:w="1017"/>
        <w:gridCol w:w="355"/>
      </w:tblGrid>
      <w:tr>
        <w:trPr/>
        <w:tc>
          <w:tcPr>
            <w:tcW w:w="82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Post-Offering(1)</w:t>
            </w:r>
          </w:p>
        </w:tc>
      </w:tr>
      <w:tr>
        <w:trPr/>
        <w:tc>
          <w:tcPr>
            <w:tcW w:w="82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 per Unit</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0.79</w:t>
            </w:r>
          </w:p>
        </w:tc>
        <w:tc>
          <w:tcPr>
            <w:tcW w:w="3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tangible book value per ordinary share as of December 31, 2025</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22.01</w:t>
            </w:r>
          </w:p>
        </w:tc>
        <w:tc>
          <w:tcPr>
            <w:tcW w:w="3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net tangible book value per Class A Common Share attributable to the Pro Forma</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w:t>
            </w:r>
          </w:p>
        </w:tc>
        <w:tc>
          <w:tcPr>
            <w:tcW w:w="3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tangible book value per Class A Common Share as of December 31, 2025, after giving effect to the Pro forma</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14.30</w:t>
            </w:r>
          </w:p>
        </w:tc>
        <w:tc>
          <w:tcPr>
            <w:tcW w:w="3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net tangible book value per ordinary share attributable to this offering</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w:t>
            </w:r>
          </w:p>
        </w:tc>
        <w:tc>
          <w:tcPr>
            <w:tcW w:w="3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2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tangible book value per ordinary share immediately after this offering</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1.14 </w:t>
            </w:r>
          </w:p>
        </w:tc>
        <w:tc>
          <w:tcPr>
            <w:tcW w:w="3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2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net tangible book value per ordinary share to new investors participating in this offering</w:t>
            </w:r>
          </w:p>
        </w:tc>
        <w:tc>
          <w:tcPr>
            <w:tcW w:w="146"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0.35 </w:t>
            </w:r>
          </w:p>
        </w:tc>
        <w:tc>
          <w:tcPr>
            <w:tcW w:w="3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Assumes net proceeds of $5,670,000 from this offering of 8,000,000 Units, each consisting of one Class A Ordinary Share and one Warrant to purchase one Class A Ordinary Share at an assumed offering price of $0.79 per Unit, calculated as follows: gross offering proceeds of $6,320,000, less placement agent commissions of $316,000, and offering expenses of approximately $334,000 (including 1% non-accountable expense allowance and $100,000 accountable expenses to placement agent), and assuming all Warrants to purchase Class A Ordinary Shares issued in this offering are exercised using zero exercise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our ordinary shares to be outstanding after this offering is based on 1,437,740 Class A Ordinary Shares and 206,598.04 Class B Ordinary Shares outstanding as of the date of this prospectus, and assuming all Warrants to purchase Class A Ordinary Shares issued in this offering are exercised using zero exercise price.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15"/>
      <w:bookmarkEnd w:id="10"/>
      <w:r>
        <w:rPr>
          <w:rFonts w:ascii="Times New Roman PS Std;serif" w:hAnsi="Times New Roman PS Std;serif"/>
          <w:b/>
          <w:i w:val="false"/>
          <w:caps w:val="false"/>
          <w:smallCaps w:val="false"/>
          <w:sz w:val="20"/>
        </w:rPr>
        <w:t xml:space="preserve">ENFORCEABILITY OF CIVIL LIABILITIES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incorporated under the laws of the Cayman Islands as an exempted company limited by shares. Intercont is incorporated in the Cayman Islands to take advantage of certain benefits associated with being a Cayman Islands exempted company,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and economic stability;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effective judicial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favorable tax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exchange control or currency restrictions;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professional and support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certain disadvantages accompany incorporation in the Cayman Islands. These disadvantages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Cayman Islands companies may not have standing to sue before the federal courts of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constitutional documents do not contain provisions requiring that disputes, including those arising under the securities laws of the United States, between us, our officers, directors, and shareholders, be arbitrated.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mainly conducted in Asia, and our assets are mainly located in Asia. A majority of Intercont’s directors and executive officers are nationals or residents of jurisdictions other than the United States, such as, Ms. Muchun Zhu, Intercont’s CEO and Chairman of the Board of Directors, currently residing in PRC, and some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appointed Cogency Global, Inc. as its agent upon whom process may be served in any action brought against us under the securities laws of the United States.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Quality Law Services Ltd., our counsel as to Cayman Islands law, that the courts of the Cayman Islands are unlikely to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 so far as the liabilities imposed by those provisions are penal in nature.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been advised by Quality Law Services Ltd. that in those circumstances, although there is no statutory recognition in the Cayman Islands of judgments obtained in the federal or state courts of the United States, a foreign money judgment of a foreign court of competent jurisdiction will be recognized and enforced in the courts of the Cayman Islands at common law, without any re-examination of the merits of the underlying dispute by an action commenced on the foreign judgment in the Grand Court of the Cayman Islands, provided that such judgment (i) is given by a foreign court of competent jurisdiction, (ii) is final and conclusive, (iii) is either for a liquidated sum not in respect of taxes, a fine or a penalty or similar fiscal or revenue obligations or, in certain circumstances, for in personam non-money relief, and (iv) is not inconsistent with a Cayman Islands judgment in respect of the same matter, impeachable on the grounds of fraud and was not obtained in a manner and is not of a kind the enforcement of which is contrary to natural justice or the public policy of the Cayman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the PRC would (1) recognize or enforce judgments of United States courts or Cayman courts obtained against Intercont or its directors or officers predicated upon the civil liability provisions of the United States federal and state securities laws; or (2) entertain original actions brought in each respective jurisdiction against Intercont or its directors or officers predicated upon the United States federal and state securities laws. The recognition and enforcement of foreign judgments are provided for under PRC Civil Procedures Law. PRC courts may recognize and enforce foreign judgments in accordance with the requirements of PRC Civil Procedures Law based either on treaties or similar arrangements between China and the jurisdiction where the judgment is made or on principles of reciprocity between jurisdictions. China does not have any treaties and only limited reciprocity arrangements with the United States or the Cayman Islands that provide for the reciprocal recognition and enforcement of foreign judgments as of the date of this prospectus. In addition, according to the PRC Civil Procedures Law, courts in the PRC will not enforce a foreign judgment against Intercont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other relevant laws,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Intercont’s Class A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4"/>
      <w:bookmarkEnd w:id="11"/>
      <w:r>
        <w:rPr>
          <w:rFonts w:ascii="Times New Roman PS Std;serif" w:hAnsi="Times New Roman PS Std;serif"/>
          <w:b/>
          <w:i w:val="false"/>
          <w:caps w:val="false"/>
          <w:smallCaps w:val="false"/>
          <w:sz w:val="20"/>
        </w:rPr>
        <w:t xml:space="preserve">MANAGEMENT’S DISCUSSION AND ANALYSIS OF FINANCIAL CONDITION AND RESULTS OF OPERATIONS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and analysis of our financial condition and results of operations in conjunction with our combined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consolidated financial statements and the related notes included elsewhere in this prospectus.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Our actual results and the timing of selected events could differ materially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various factors, including those set forth under “Risk Factors” and elsewhere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was established under the laws of the Cayman Islands on July 4, 2023 as a holding company. The Company, through its subsidiaries (collectively, the “Group”), is currently principally engaged in time charter service and vessel management services business globally.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our revenues were approximately $12.6 million and $13.4 million, respectively. For the six months ended December31, 2025 and 2024, we had a net loss of approximately $2.7 million and net income of $0.9 million,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our revenues were approximately $25.1 million, $25.5 million and $32.4 million, respectively. For the years ended June 30, 2025, 2024 and 2023, we had net income of approximately $3.1 million, $3.1 million and $10.9 million,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Intercont (Cayman) Limited (the “Company”) held an extraordinary general meeting of shareholders (the “First EGM”). At the First EGM, the shareholders approved, among other resolutions, an amendment to the Company’s authorized share capital, the creation of two new classes of ordinary shares, and the re-designation of existing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share capital was increased from US$50,000, divided into 500,000,000 ordinary shares of par value US$0.0001 each, to US$100,000, divided into 1,000,000,000 ordinary shares of par value US$0.0001 each.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also authorized, established, and designated two new classes of ordinary shares: Class A Ordinary Shares and Class B Ordinary Shares. Class A shares have one vote each, while Class B shares have thirty votes each and weighted voting rights. Class B shares are convertible into Class A shares at the holder’s option, but Class A shares are not convertible into any other class.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shareholders approved the re-designation 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5,164,951 existing authorized and issued ordinary shares as Class B Shares. This includes 908,708 shares held by EASCOR HOLDING LIMITED and 4,256,243 shares held by BEVERLY HOLDING LIMITED.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remaining 25,319,350 issued ordinary shares as Class A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969,515,699 authorized but unissued ordinary shares as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2026 Extraordinary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Class A Meeting: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newly increased and unissued 79,960,206,598.04 Ordinary Shares be redesignated as Class A Shares;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newly increased and unissued 19,999,793,401.96 Ordinary Shares be redesignated into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Second EGM: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newly increased and unissued 79,960,206,598.04 Ordinary Shares be redesignated as Class A Shares;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newly increased and unissued 19,999,793,401.96 Ordinary Shares be redesignated into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(iv)   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Factors that Affect Operating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engaged in the international maritime transportation business of providing time charter and vessel management services globally and primarily derives its revenue from time charter contracts and providing vessel management services. We believe the principal factors that affect our future results of operations are the economic, regulatory, political and governmental conditions that affect the shipping industry generally and those that affect conditions in countries and markets in which our vessels engage in business. Other key factors that will be fundamental to our business, future financial condition and results of operations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demand for seaborne transportation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commercial and chartering operations to successfully employ our vessels at economically attractive 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 and efficient technical management of our vessels;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strength of and growth in our customer relationships.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factors discussed above, we believe certain specific factors will impact our consolidated results of operations. These factors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charter hire earned by the vessels under our charters;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access to capital required to acquire additional vessels and/or to implement our business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sell vessels at prices we deem satisfactory;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level of debt and the related interest expense and amortization of principal.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six months ended December 31,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results of our operations for the six months ended December 31, 2025 and 2024, respectively, and provides information regarding the dollar and percentage increase during such periods.</w:t>
      </w:r>
    </w:p>
    <w:tbl>
      <w:tblPr>
        <w:tblW w:w="10205" w:type="dxa"/>
        <w:jc w:val="left"/>
        <w:tblInd w:w="0" w:type="dxa"/>
        <w:tblLayout w:type="fixed"/>
        <w:tblCellMar>
          <w:top w:w="0" w:type="dxa"/>
          <w:left w:w="0" w:type="dxa"/>
          <w:bottom w:w="0" w:type="dxa"/>
          <w:right w:w="0" w:type="dxa"/>
        </w:tblCellMar>
      </w:tblPr>
      <w:tblGrid>
        <w:gridCol w:w="3298"/>
        <w:gridCol w:w="146"/>
        <w:gridCol w:w="286"/>
        <w:gridCol w:w="1246"/>
        <w:gridCol w:w="241"/>
        <w:gridCol w:w="146"/>
        <w:gridCol w:w="286"/>
        <w:gridCol w:w="1246"/>
        <w:gridCol w:w="241"/>
        <w:gridCol w:w="146"/>
        <w:gridCol w:w="286"/>
        <w:gridCol w:w="1201"/>
        <w:gridCol w:w="241"/>
        <w:gridCol w:w="146"/>
        <w:gridCol w:w="601"/>
        <w:gridCol w:w="448"/>
      </w:tblGrid>
      <w:tr>
        <w:trPr/>
        <w:tc>
          <w:tcPr>
            <w:tcW w:w="32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49"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br/>
              <w:t>Change</w:t>
            </w:r>
          </w:p>
        </w:tc>
      </w:tr>
      <w:tr>
        <w:trPr/>
        <w:tc>
          <w:tcPr>
            <w:tcW w:w="3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49" w:type="dxa"/>
            <w:gridSpan w:val="2"/>
            <w:vMerge w:val="continue"/>
            <w:tcBorders/>
            <w:vAlign w:val="bottom"/>
          </w:tcPr>
          <w:p>
            <w:pPr>
              <w:pStyle w:val="Normal"/>
              <w:bidi w:val="0"/>
              <w:jc w:val="left"/>
              <w:rPr/>
            </w:pPr>
            <w:r>
              <w:rPr/>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12,588,263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13,386,367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(798,104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9,582,321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9,564,100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3,005,942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3,822,267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(816,325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4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3,894,427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1,261,906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2,632,521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4,468,468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1,697,930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2,770,538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(1,462,526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2,124,337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(3,586,863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4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(1,192,046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(1,191,971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(1,219,863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(1,228,405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(2,682,389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895,932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(3,578,321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(2,682,389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895,932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(3,578,321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our total revenue was approximately $12.6 million as compared to approximately $13.4 million for the six months ended December 31, 2024, total revenue reduced by approximately $0.8 million, or 6%. For the six months ended December 31, 2025, revenue was impacted by dry-docking and major repairs, which resulted in off-hire days and a decrease in hire rate for time charter.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disaggregated revenues by revenue streams were as follows:</w:t>
      </w:r>
    </w:p>
    <w:tbl>
      <w:tblPr>
        <w:tblW w:w="10043" w:type="dxa"/>
        <w:jc w:val="left"/>
        <w:tblInd w:w="0" w:type="dxa"/>
        <w:tblLayout w:type="fixed"/>
        <w:tblCellMar>
          <w:top w:w="0" w:type="dxa"/>
          <w:left w:w="0" w:type="dxa"/>
          <w:bottom w:w="0" w:type="dxa"/>
          <w:right w:w="0" w:type="dxa"/>
        </w:tblCellMar>
      </w:tblPr>
      <w:tblGrid>
        <w:gridCol w:w="3856"/>
        <w:gridCol w:w="146"/>
        <w:gridCol w:w="286"/>
        <w:gridCol w:w="1246"/>
        <w:gridCol w:w="146"/>
        <w:gridCol w:w="286"/>
        <w:gridCol w:w="1246"/>
        <w:gridCol w:w="146"/>
        <w:gridCol w:w="286"/>
        <w:gridCol w:w="1021"/>
        <w:gridCol w:w="241"/>
        <w:gridCol w:w="146"/>
        <w:gridCol w:w="504"/>
        <w:gridCol w:w="487"/>
      </w:tblGrid>
      <w:tr>
        <w:trPr/>
        <w:tc>
          <w:tcPr>
            <w:tcW w:w="38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9,176,820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9,977,858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(801,038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3,411,443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3,408,509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12,588,263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13,386,367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(798,104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reduced by approximately $0.8 million or 8% from approximately $10.0 million in the six months ended December 31, 2024, to approximately $9.2 million in the six months ended December 31, 2025. The decrease was primarily attributable to the decrease of hire rate for time charter during the six months ended December 31,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increased remained stable at approximately $3.4 million for the six months ended December 31,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revenue stream:</w:t>
      </w:r>
    </w:p>
    <w:tbl>
      <w:tblPr>
        <w:tblW w:w="10205" w:type="dxa"/>
        <w:jc w:val="left"/>
        <w:tblInd w:w="0" w:type="dxa"/>
        <w:tblLayout w:type="fixed"/>
        <w:tblCellMar>
          <w:top w:w="0" w:type="dxa"/>
          <w:left w:w="0" w:type="dxa"/>
          <w:bottom w:w="0" w:type="dxa"/>
          <w:right w:w="0" w:type="dxa"/>
        </w:tblCellMar>
      </w:tblPr>
      <w:tblGrid>
        <w:gridCol w:w="4258"/>
        <w:gridCol w:w="146"/>
        <w:gridCol w:w="286"/>
        <w:gridCol w:w="1126"/>
        <w:gridCol w:w="146"/>
        <w:gridCol w:w="286"/>
        <w:gridCol w:w="1126"/>
        <w:gridCol w:w="146"/>
        <w:gridCol w:w="286"/>
        <w:gridCol w:w="1021"/>
        <w:gridCol w:w="241"/>
        <w:gridCol w:w="146"/>
        <w:gridCol w:w="504"/>
        <w:gridCol w:w="487"/>
      </w:tblGrid>
      <w:tr>
        <w:trPr/>
        <w:tc>
          <w:tcPr>
            <w:tcW w:w="42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42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42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revenue stream: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2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6,676,992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6,509,744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167,248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2,905,329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3,054,356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9,582,321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9,564,100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9059" w:type="dxa"/>
        <w:jc w:val="left"/>
        <w:tblInd w:w="0" w:type="dxa"/>
        <w:tblLayout w:type="fixed"/>
        <w:tblCellMar>
          <w:top w:w="0" w:type="dxa"/>
          <w:left w:w="0" w:type="dxa"/>
          <w:bottom w:w="0" w:type="dxa"/>
          <w:right w:w="0" w:type="dxa"/>
        </w:tblCellMar>
      </w:tblPr>
      <w:tblGrid>
        <w:gridCol w:w="3091"/>
        <w:gridCol w:w="146"/>
        <w:gridCol w:w="286"/>
        <w:gridCol w:w="1126"/>
        <w:gridCol w:w="146"/>
        <w:gridCol w:w="286"/>
        <w:gridCol w:w="1126"/>
        <w:gridCol w:w="146"/>
        <w:gridCol w:w="286"/>
        <w:gridCol w:w="1021"/>
        <w:gridCol w:w="241"/>
        <w:gridCol w:w="146"/>
        <w:gridCol w:w="546"/>
        <w:gridCol w:w="466"/>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2" w:type="dxa"/>
            <w:gridSpan w:val="2"/>
            <w:vMerge w:val="continue"/>
            <w:tcBorders/>
            <w:vAlign w:val="bottom"/>
          </w:tcPr>
          <w:p>
            <w:pPr>
              <w:pStyle w:val="Normal"/>
              <w:bidi w:val="0"/>
              <w:jc w:val="left"/>
              <w:rPr/>
            </w:pPr>
            <w:r>
              <w:rPr/>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type: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1,708,380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1,682,250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1,844,122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1,853,051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3,389,202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3,013,299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375,903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2,640,617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3,015,500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9,582,321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9,564,100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mainly consists of vessel lease expense, depreciation and amortization, crew salary and others. Total cost amounted to approximately $9.6 million for the six months ended December 31, 2025 and 2024, reflecting no material change between the two periods.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 was approximately $1.7 million for the six months ended December 31, 2025 and 2024. Depreciation and amortization were approximately $1.8 million and $1.9 million for the six months ended December 31, 2025 and 2024. Crew salary was approximately $3.4 million for the six months ended December 31, 2025, representing an increase of approximately $0.4 million compared to approximately $3.0 million for the six months ended December 31, 2024. The increase was mainly due to an increase in the number of crew members. Other cost was approximately $2.6 million for the six months ended December 31, 2025, representing a decrease of approximately $0.4 million compared to approximately $3.0 million for the six months ended December 31, 2024. The decrease was mainly due to lower vessel maintenance and repair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tbl>
      <w:tblPr>
        <w:tblW w:w="9726" w:type="dxa"/>
        <w:jc w:val="left"/>
        <w:tblInd w:w="0" w:type="dxa"/>
        <w:tblLayout w:type="fixed"/>
        <w:tblCellMar>
          <w:top w:w="0" w:type="dxa"/>
          <w:left w:w="0" w:type="dxa"/>
          <w:bottom w:w="0" w:type="dxa"/>
          <w:right w:w="0" w:type="dxa"/>
        </w:tblCellMar>
      </w:tblPr>
      <w:tblGrid>
        <w:gridCol w:w="4501"/>
        <w:gridCol w:w="146"/>
        <w:gridCol w:w="286"/>
        <w:gridCol w:w="1126"/>
        <w:gridCol w:w="146"/>
        <w:gridCol w:w="478"/>
        <w:gridCol w:w="408"/>
        <w:gridCol w:w="146"/>
        <w:gridCol w:w="286"/>
        <w:gridCol w:w="1126"/>
        <w:gridCol w:w="146"/>
        <w:gridCol w:w="474"/>
        <w:gridCol w:w="457"/>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7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 December 31,</w:t>
            </w:r>
          </w:p>
        </w:tc>
      </w:tr>
      <w:tr>
        <w:trPr/>
        <w:tc>
          <w:tcPr>
            <w:tcW w:w="4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4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PROFIT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time charter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2,499,828</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3,468,114</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vessel management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506,114</w:t>
            </w:r>
          </w:p>
        </w:tc>
        <w:tc>
          <w:tcPr>
            <w:tcW w:w="146"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354,153</w:t>
            </w:r>
          </w:p>
        </w:tc>
        <w:tc>
          <w:tcPr>
            <w:tcW w:w="146"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3,005,942</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3,822,267</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gross profit amounted to approximately $3.0 million for the six months ended December 31, 2025, compared to a gross profit of approximately $3.8 million for the six months ended December 31, 2024. Gross margin as a percent of overall revenue for the six months ended December 31, 2025, and 2024 was 24% and 29%, respectively. The decrease in gross profit margin was primarily due to lower gross profit margin for time charter in the six months ended December 31, 2025. Gross profit margin for time charter was 27% and 35%, respectively, for the six months ended December 31,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tbl>
      <w:tblPr>
        <w:tblW w:w="10042" w:type="dxa"/>
        <w:jc w:val="left"/>
        <w:tblInd w:w="0" w:type="dxa"/>
        <w:tblLayout w:type="fixed"/>
        <w:tblCellMar>
          <w:top w:w="0" w:type="dxa"/>
          <w:left w:w="0" w:type="dxa"/>
          <w:bottom w:w="0" w:type="dxa"/>
          <w:right w:w="0" w:type="dxa"/>
        </w:tblCellMar>
      </w:tblPr>
      <w:tblGrid>
        <w:gridCol w:w="3781"/>
        <w:gridCol w:w="146"/>
        <w:gridCol w:w="301"/>
        <w:gridCol w:w="1261"/>
        <w:gridCol w:w="146"/>
        <w:gridCol w:w="301"/>
        <w:gridCol w:w="1261"/>
        <w:gridCol w:w="146"/>
        <w:gridCol w:w="301"/>
        <w:gridCol w:w="1261"/>
        <w:gridCol w:w="146"/>
        <w:gridCol w:w="568"/>
        <w:gridCol w:w="423"/>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3,894,427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1,261,906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2,632,521</w:t>
            </w:r>
          </w:p>
        </w:tc>
        <w:tc>
          <w:tcPr>
            <w:tcW w:w="146" w:type="dxa"/>
            <w:tcBorders/>
            <w:vAlign w:val="bottom"/>
          </w:tcPr>
          <w:p>
            <w:pPr>
              <w:pStyle w:val="TableContents"/>
              <w:bidi w:val="0"/>
              <w:spacing w:before="0" w:after="283"/>
              <w:jc w:val="left"/>
              <w:rPr/>
            </w:pPr>
            <w:r>
              <w:rPr/>
              <w:t> </w:t>
            </w:r>
          </w:p>
        </w:tc>
        <w:tc>
          <w:tcPr>
            <w:tcW w:w="5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138,017</w:t>
            </w:r>
          </w:p>
        </w:tc>
        <w:tc>
          <w:tcPr>
            <w:tcW w:w="146"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4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4,468,468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1,697,930</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2,770,538</w:t>
            </w:r>
          </w:p>
        </w:tc>
        <w:tc>
          <w:tcPr>
            <w:tcW w:w="146" w:type="dxa"/>
            <w:tcBorders/>
            <w:vAlign w:val="bottom"/>
          </w:tcPr>
          <w:p>
            <w:pPr>
              <w:pStyle w:val="TableContents"/>
              <w:bidi w:val="0"/>
              <w:spacing w:before="0" w:after="283"/>
              <w:jc w:val="left"/>
              <w:rPr/>
            </w:pPr>
            <w:r>
              <w:rPr/>
              <w:t> </w:t>
            </w:r>
          </w:p>
        </w:tc>
        <w:tc>
          <w:tcPr>
            <w:tcW w:w="5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4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consist of general and administrative expenses and research and development expenses. Operating expenses increased by approximately $2.8 million, or 163%, from approximately $1.7 million for the six months ended December 31, 2024, to approximately $4.5 million for the six months ended December 31, 2025 due to increase of approximately $0.1 million in research and development expenses and increase of approximately $2.6 million in general and administrative.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primarily consist of salary and compensation expenses relating to our accounting, human resources, and executive office personnel, and included office rental and depreciation and amortization expenses, office overhead, professional service fees and travel and transportation costs. General and administrative expenses increased by approximately $2.6 million due to (a) professional consulting and legal fees increased by approximately $2.1 million from $0.4 for the six months ended December 31, 2024, to approximately $2.5 million for the six months ended December 31, 2025, (b) other expenses including salary expenses, insurance expense etc. increased approximately $0.5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incurred approximately $0.6 million research and development expenses for entrusting a third party to conduct research on pulp transport device, pulp residue processing and remote control of ship pulping operation for the six months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expenses,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 primarily consists of interest income, interest expense and other expense. Other expense, net was approximately $1.2 million for both the six months ended December 31, 2025 and 2024, remaining stable compared to the prior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net loss amounted to approximately $2.7 million for the six months ended December 31, 2025, compared to a net income of approximately $0.9 million for the six months ended December 31, 2024. The net loss was primarily attributable to strategic investments in post-IPO expansion initiatives, which included approximately $2.1 million in professional and advisory service fees incurred in connection with the execution of these growth plans.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Years Ended June 30,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results of our operations for the years ended June 30, 2025 and 2024, respectively, and provides information regarding the dollar and percentage increase during such periods.</w:t>
      </w:r>
    </w:p>
    <w:tbl>
      <w:tblPr>
        <w:tblW w:w="10205" w:type="dxa"/>
        <w:jc w:val="left"/>
        <w:tblInd w:w="0" w:type="dxa"/>
        <w:tblLayout w:type="fixed"/>
        <w:tblCellMar>
          <w:top w:w="0" w:type="dxa"/>
          <w:left w:w="0" w:type="dxa"/>
          <w:bottom w:w="0" w:type="dxa"/>
          <w:right w:w="0" w:type="dxa"/>
        </w:tblCellMar>
      </w:tblPr>
      <w:tblGrid>
        <w:gridCol w:w="3517"/>
        <w:gridCol w:w="146"/>
        <w:gridCol w:w="286"/>
        <w:gridCol w:w="1246"/>
        <w:gridCol w:w="241"/>
        <w:gridCol w:w="146"/>
        <w:gridCol w:w="286"/>
        <w:gridCol w:w="1246"/>
        <w:gridCol w:w="241"/>
        <w:gridCol w:w="146"/>
        <w:gridCol w:w="286"/>
        <w:gridCol w:w="1021"/>
        <w:gridCol w:w="241"/>
        <w:gridCol w:w="146"/>
        <w:gridCol w:w="546"/>
        <w:gridCol w:w="464"/>
      </w:tblGrid>
      <w:tr>
        <w:trPr/>
        <w:tc>
          <w:tcPr>
            <w:tcW w:w="351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0" w:type="dxa"/>
            <w:gridSpan w:val="2"/>
            <w:vMerge w:val="continue"/>
            <w:tcBorders/>
            <w:vAlign w:val="bottom"/>
          </w:tcPr>
          <w:p>
            <w:pPr>
              <w:pStyle w:val="Normal"/>
              <w:bidi w:val="0"/>
              <w:jc w:val="left"/>
              <w:rPr/>
            </w:pPr>
            <w:r>
              <w:rPr/>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25,135,681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17,299,701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(877,570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7,835,980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7,349,665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486,315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4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2,314,051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644,093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2,935,075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2,270,958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664,117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4,900,905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(177,802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4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(1,911,780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(2,696,117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784,337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(1,796,638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3,104,267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3,104,267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2025, our total revenue was approximately $25.1 million, decreasing by approximately $0.4 million, or 2%, as compared to approximately $25.5 million for the year ended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and 2024, the disaggregated revenues by revenue streams were as follows:</w:t>
      </w:r>
    </w:p>
    <w:tbl>
      <w:tblPr>
        <w:tblW w:w="10043" w:type="dxa"/>
        <w:jc w:val="left"/>
        <w:tblInd w:w="0" w:type="dxa"/>
        <w:tblLayout w:type="fixed"/>
        <w:tblCellMar>
          <w:top w:w="0" w:type="dxa"/>
          <w:left w:w="0" w:type="dxa"/>
          <w:bottom w:w="0" w:type="dxa"/>
          <w:right w:w="0" w:type="dxa"/>
        </w:tblCellMar>
      </w:tblPr>
      <w:tblGrid>
        <w:gridCol w:w="3856"/>
        <w:gridCol w:w="146"/>
        <w:gridCol w:w="286"/>
        <w:gridCol w:w="1246"/>
        <w:gridCol w:w="146"/>
        <w:gridCol w:w="286"/>
        <w:gridCol w:w="1246"/>
        <w:gridCol w:w="146"/>
        <w:gridCol w:w="286"/>
        <w:gridCol w:w="1021"/>
        <w:gridCol w:w="241"/>
        <w:gridCol w:w="146"/>
        <w:gridCol w:w="475"/>
        <w:gridCol w:w="516"/>
      </w:tblGrid>
      <w:tr>
        <w:trPr/>
        <w:tc>
          <w:tcPr>
            <w:tcW w:w="38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19,613,798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(307,429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5,829,312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5,913,138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25,135,681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decreased by approximately $0.3 million or 2% from approximately $19.6 million in the year ended June 30, 2024 to approximately $19.3 million in the year ended June 30, 2025. The decrease was primarily attributable to the decrease of hire rate for time charter during the year ended June 30, 2025. The vessel management services revenue decreased by approximately $0.1 million from approximately $5.9 million in the year ended June 30, 2024 to approximately $5.8 million in the year ended June 30, 2025. The balance showed minimal year-over-year variation, reflecting consistent performance in vessel management services contracts for the years ended June 30,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revenue stream:</w:t>
      </w:r>
    </w:p>
    <w:tbl>
      <w:tblPr>
        <w:tblW w:w="10205" w:type="dxa"/>
        <w:jc w:val="left"/>
        <w:tblInd w:w="0" w:type="dxa"/>
        <w:tblLayout w:type="fixed"/>
        <w:tblCellMar>
          <w:top w:w="0" w:type="dxa"/>
          <w:left w:w="0" w:type="dxa"/>
          <w:bottom w:w="0" w:type="dxa"/>
          <w:right w:w="0" w:type="dxa"/>
        </w:tblCellMar>
      </w:tblPr>
      <w:tblGrid>
        <w:gridCol w:w="4018"/>
        <w:gridCol w:w="146"/>
        <w:gridCol w:w="286"/>
        <w:gridCol w:w="1246"/>
        <w:gridCol w:w="146"/>
        <w:gridCol w:w="286"/>
        <w:gridCol w:w="1246"/>
        <w:gridCol w:w="146"/>
        <w:gridCol w:w="286"/>
        <w:gridCol w:w="1021"/>
        <w:gridCol w:w="241"/>
        <w:gridCol w:w="146"/>
        <w:gridCol w:w="475"/>
        <w:gridCol w:w="516"/>
      </w:tblGrid>
      <w:tr>
        <w:trPr/>
        <w:tc>
          <w:tcPr>
            <w:tcW w:w="40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12,172,641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12,958,301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5,127,060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5,218,970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(91,910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17,299,701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(877,570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9299" w:type="dxa"/>
        <w:jc w:val="left"/>
        <w:tblInd w:w="0" w:type="dxa"/>
        <w:tblLayout w:type="fixed"/>
        <w:tblCellMar>
          <w:top w:w="0" w:type="dxa"/>
          <w:left w:w="0" w:type="dxa"/>
          <w:bottom w:w="0" w:type="dxa"/>
          <w:right w:w="0" w:type="dxa"/>
        </w:tblCellMar>
      </w:tblPr>
      <w:tblGrid>
        <w:gridCol w:w="3091"/>
        <w:gridCol w:w="146"/>
        <w:gridCol w:w="286"/>
        <w:gridCol w:w="1246"/>
        <w:gridCol w:w="146"/>
        <w:gridCol w:w="286"/>
        <w:gridCol w:w="1246"/>
        <w:gridCol w:w="146"/>
        <w:gridCol w:w="286"/>
        <w:gridCol w:w="1021"/>
        <w:gridCol w:w="241"/>
        <w:gridCol w:w="146"/>
        <w:gridCol w:w="546"/>
        <w:gridCol w:w="466"/>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2" w:type="dxa"/>
            <w:gridSpan w:val="2"/>
            <w:vMerge w:val="continue"/>
            <w:tcBorders/>
            <w:vAlign w:val="bottom"/>
          </w:tcPr>
          <w:p>
            <w:pPr>
              <w:pStyle w:val="Normal"/>
              <w:bidi w:val="0"/>
              <w:jc w:val="left"/>
              <w:rPr/>
            </w:pPr>
            <w:r>
              <w:rPr/>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type: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2,630,985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2,912,582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(281,597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3,699,314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3,650,085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6,034,597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6,104,637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4,934,805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5,509,967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(575,162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17,299,701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(877,570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mainly consists of vessel lease expense, depreciation and amortization, crew salaries and others. Our cost amounted to approximately $17.3 million for the year ended June 30, 2025, representing a decrease of approximately $0.9 million or 5% compared to approximately $18.2 million for the year ended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 was approximately $2.6 million for the year ended June 30, 2025, representing a decrease of approximately $0.3 million compared to approximately $2.9 million for the year ended June 30, 2024. Our vessel lease expense represents the operating lease expense for Top Advancer. As the gross daily hire is calculated based on Baltic Supramax index (“BSI”) 58 10TC published by the Baltic Exchange, the hire decreased following the BSI changes in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remained at approximately $3.7 million for the years ended June 30,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salaries were approximately $6.0 million for the year ended June 30, 2025, representing a decrease of approximately $0.1 million compared to approximately $6.1 million for the year ended June 30, 2024. Crew salaries decreased by approximately $0.1 million due to a slight decrease in the average wage level compared to the previous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 was approximately $4.9 million for the year ended June 30, 2025, representing a decrease of approximately $0.6 million compared to approximately $5.5 million for the year ended June 30, 2024. Other cost decreased by approximately $0.6 million due to (a) idling fuel consumption decreased by approximately $0.2 million from $0.2 million for the year ended June 30, 2024 to approximately $0.003 million for the year ended June 30, 2025; (b) commission expenses decreased by approximately $0.2 million from approximately $0.2 million for the year ended June 30, 2024 to $nil for the year ended June 30, 2025; (c) lubricant expenses decreased by approximately $0.1 million from approximately $0.6 million for the year ended June 30, 2024 to approximately $0.5 million for the year ended June 30, 2025; (d) miscellaneous expenses including spare parts, repair and maintenance expenses etc. decreased by approximately $0.1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tbl>
      <w:tblPr>
        <w:tblW w:w="9726" w:type="dxa"/>
        <w:jc w:val="left"/>
        <w:tblInd w:w="0" w:type="dxa"/>
        <w:tblLayout w:type="fixed"/>
        <w:tblCellMar>
          <w:top w:w="0" w:type="dxa"/>
          <w:left w:w="0" w:type="dxa"/>
          <w:bottom w:w="0" w:type="dxa"/>
          <w:right w:w="0" w:type="dxa"/>
        </w:tblCellMar>
      </w:tblPr>
      <w:tblGrid>
        <w:gridCol w:w="4501"/>
        <w:gridCol w:w="146"/>
        <w:gridCol w:w="286"/>
        <w:gridCol w:w="1126"/>
        <w:gridCol w:w="146"/>
        <w:gridCol w:w="478"/>
        <w:gridCol w:w="408"/>
        <w:gridCol w:w="146"/>
        <w:gridCol w:w="286"/>
        <w:gridCol w:w="1126"/>
        <w:gridCol w:w="146"/>
        <w:gridCol w:w="474"/>
        <w:gridCol w:w="457"/>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7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4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4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PROFIT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7,133,728</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6,655,497</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vessel management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702,252</w:t>
            </w:r>
          </w:p>
        </w:tc>
        <w:tc>
          <w:tcPr>
            <w:tcW w:w="146"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694,168</w:t>
            </w:r>
          </w:p>
        </w:tc>
        <w:tc>
          <w:tcPr>
            <w:tcW w:w="146"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7,835,980</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7,349,665</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gross profit amounted to approximately $7.8 million for the year ended June 30, 2025, compared to a gross profit of approximately $7.3 million for the year ended June 30, 2024. Gross margin as a percentage of overall revenue for the years ended June 30, 2025 and 2024 was 31% and 29%, respectively. Gross profit margin for time charter was 37% and 34%, respectively, for the years ended June 30, 2025 and 2024 because the year-over-year decline in cost of revenue exceeded the revenue decline. Gross profit margin for vessel management stayed at 12% for the years ended June 30,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tbl>
      <w:tblPr>
        <w:tblW w:w="9832" w:type="dxa"/>
        <w:jc w:val="left"/>
        <w:tblInd w:w="0" w:type="dxa"/>
        <w:tblLayout w:type="fixed"/>
        <w:tblCellMar>
          <w:top w:w="0" w:type="dxa"/>
          <w:left w:w="0" w:type="dxa"/>
          <w:bottom w:w="0" w:type="dxa"/>
          <w:right w:w="0" w:type="dxa"/>
        </w:tblCellMar>
      </w:tblPr>
      <w:tblGrid>
        <w:gridCol w:w="3781"/>
        <w:gridCol w:w="146"/>
        <w:gridCol w:w="301"/>
        <w:gridCol w:w="1261"/>
        <w:gridCol w:w="146"/>
        <w:gridCol w:w="301"/>
        <w:gridCol w:w="1261"/>
        <w:gridCol w:w="146"/>
        <w:gridCol w:w="301"/>
        <w:gridCol w:w="1051"/>
        <w:gridCol w:w="146"/>
        <w:gridCol w:w="513"/>
        <w:gridCol w:w="478"/>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June 30,</w:t>
            </w:r>
          </w:p>
        </w:tc>
        <w:tc>
          <w:tcPr>
            <w:tcW w:w="146" w:type="dxa"/>
            <w:tcBorders/>
            <w:vAlign w:val="bottom"/>
          </w:tcPr>
          <w:p>
            <w:pPr>
              <w:pStyle w:val="TableContents"/>
              <w:bidi w:val="0"/>
              <w:spacing w:before="0" w:after="283"/>
              <w:jc w:val="left"/>
              <w:rPr/>
            </w:pPr>
            <w:r>
              <w:rPr/>
              <w:t> </w:t>
            </w:r>
          </w:p>
        </w:tc>
        <w:tc>
          <w:tcPr>
            <w:tcW w:w="135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5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2,314,051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644,093</w:t>
            </w:r>
          </w:p>
        </w:tc>
        <w:tc>
          <w:tcPr>
            <w:tcW w:w="146" w:type="dxa"/>
            <w:tcBorders/>
            <w:vAlign w:val="bottom"/>
          </w:tcPr>
          <w:p>
            <w:pPr>
              <w:pStyle w:val="TableContents"/>
              <w:bidi w:val="0"/>
              <w:spacing w:before="0" w:after="283"/>
              <w:jc w:val="left"/>
              <w:rPr/>
            </w:pPr>
            <w:r>
              <w:rPr/>
              <w:t> </w:t>
            </w:r>
          </w:p>
        </w:tc>
        <w:tc>
          <w:tcPr>
            <w:tcW w:w="5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20,024</w:t>
            </w:r>
          </w:p>
        </w:tc>
        <w:tc>
          <w:tcPr>
            <w:tcW w:w="146"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2,935,075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2,270,958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664,117</w:t>
            </w:r>
          </w:p>
        </w:tc>
        <w:tc>
          <w:tcPr>
            <w:tcW w:w="146" w:type="dxa"/>
            <w:tcBorders/>
            <w:vAlign w:val="bottom"/>
          </w:tcPr>
          <w:p>
            <w:pPr>
              <w:pStyle w:val="TableContents"/>
              <w:bidi w:val="0"/>
              <w:spacing w:before="0" w:after="283"/>
              <w:jc w:val="left"/>
              <w:rPr/>
            </w:pPr>
            <w:r>
              <w:rPr/>
              <w:t> </w:t>
            </w:r>
          </w:p>
        </w:tc>
        <w:tc>
          <w:tcPr>
            <w:tcW w:w="5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consist of general and administrative expenses and research and development expenses. Operating expenses increased by approximately $0.7 million, or 29%, from approximately $2.3 million for the year ended June 30, 2024 to approximately $2.9 million for the year ended June 30,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primarily consist of salary and compensation expenses relating to our accounting, human resources, and executive office personnel, and also included office rental and depreciation and amortization expenses, office overhead, professional service fees and travel and transportation costs. General and administrative expenses increased by approximately $0.6 million due to (a) professional consulting and legal fees decreased by approximately $0.2 million from $0.7 million for the year ended June 30, 2024 to approximately $0.5 million for the year ended June 30, 2025, (b) salary expense increased by approximately $0.7 million from $0.7 million for the year ended June 30, 2024 to approximately $1.4 million for the year ended June 30, 2025, (c) other expenses including, depreciation and amortization, rental and property management expense etc. increased approximately $0.1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incurred approximately $0.6 million research and development expenses for entrusting a third party to conduct research on pulp transport device, pulp residue processing and remote control of ship pulping operation for the year ended June 30, 2025.</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 primarily consists of interest income, interest expense and other income. Other expense, net decreased by approximately $0.1 million, or 7%, from approximately $1.9 million for the year ended June 30, 2024 to approximately $1.8 million for the year ended June 30, 2025. Interest income decreased by approximately $0.3 million in the year ended June 30, 2025 due to the absence of interest income from time deposits during the current year. Interest expense decreased by approximately $0.8 million to approximately $1.9 million in the year ended June 30, 2025 from approximately $2.7 million in the year ended June 30, 2024 due to decrease of loan balance and decrease of interest expense from financing lease. Other income, net for the year ended June 30, 2025 mainly consisted of investment income of approximately $0.1 million. Other income, net for the year ended June 30, 2024 mainly consisted of compensation income for early termination of contract of approximately $0.3 million and other miscellaneous items such as insurance compensation and material recycle income, etc.</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net income remained at approximately $3.1 million for the year ended June 30,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Years Ended June 30, 2024 and 2023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results of our operations for the years ended June 30, 2024 and 2023, respectively, and provides information regarding the dollar and percentage increase during such periods.</w:t>
      </w:r>
    </w:p>
    <w:tbl>
      <w:tblPr>
        <w:tblW w:w="10205" w:type="dxa"/>
        <w:jc w:val="left"/>
        <w:tblInd w:w="0" w:type="dxa"/>
        <w:tblLayout w:type="fixed"/>
        <w:tblCellMar>
          <w:top w:w="0" w:type="dxa"/>
          <w:left w:w="0" w:type="dxa"/>
          <w:bottom w:w="0" w:type="dxa"/>
          <w:right w:w="0" w:type="dxa"/>
        </w:tblCellMar>
      </w:tblPr>
      <w:tblGrid>
        <w:gridCol w:w="3294"/>
        <w:gridCol w:w="146"/>
        <w:gridCol w:w="286"/>
        <w:gridCol w:w="1246"/>
        <w:gridCol w:w="241"/>
        <w:gridCol w:w="146"/>
        <w:gridCol w:w="286"/>
        <w:gridCol w:w="1246"/>
        <w:gridCol w:w="241"/>
        <w:gridCol w:w="146"/>
        <w:gridCol w:w="286"/>
        <w:gridCol w:w="1201"/>
        <w:gridCol w:w="241"/>
        <w:gridCol w:w="146"/>
        <w:gridCol w:w="601"/>
        <w:gridCol w:w="452"/>
      </w:tblGrid>
      <w:tr>
        <w:trPr/>
        <w:tc>
          <w:tcPr>
            <w:tcW w:w="32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53"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2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53" w:type="dxa"/>
            <w:gridSpan w:val="2"/>
            <w:vMerge w:val="continue"/>
            <w:tcBorders/>
            <w:vAlign w:val="bottom"/>
          </w:tcPr>
          <w:p>
            <w:pPr>
              <w:pStyle w:val="Normal"/>
              <w:bidi w:val="0"/>
              <w:jc w:val="left"/>
              <w:rPr/>
            </w:pPr>
            <w:r>
              <w:rPr/>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32,445,557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(6,918,621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18,068,312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7,349,665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14,377,245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(7,027,580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793,521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2,270,958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1,394,521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13,500,808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(8,422,101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194,576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(2,696,117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(2,718,304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(89,391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539,644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(2,613,119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674,480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10,887,689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(7,747,621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10,887,689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(7,747,621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2024, our total revenue was approximately $25.5 million as compared to approximately $32.4 million for the year ended June 30, 2023, total revenue decreasing by approximately $6.9 million, or 21%. The overall decrease in total revenue was primarily attributable to the decrease of hire rate for time charter during the year ended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2024 and 2023, the disaggregated revenues by revenue streams were as follows:</w:t>
      </w:r>
    </w:p>
    <w:tbl>
      <w:tblPr>
        <w:tblW w:w="10205" w:type="dxa"/>
        <w:jc w:val="left"/>
        <w:tblInd w:w="0" w:type="dxa"/>
        <w:tblLayout w:type="fixed"/>
        <w:tblCellMar>
          <w:top w:w="0" w:type="dxa"/>
          <w:left w:w="0" w:type="dxa"/>
          <w:bottom w:w="0" w:type="dxa"/>
          <w:right w:w="0" w:type="dxa"/>
        </w:tblCellMar>
      </w:tblPr>
      <w:tblGrid>
        <w:gridCol w:w="3817"/>
        <w:gridCol w:w="146"/>
        <w:gridCol w:w="286"/>
        <w:gridCol w:w="1246"/>
        <w:gridCol w:w="146"/>
        <w:gridCol w:w="286"/>
        <w:gridCol w:w="1246"/>
        <w:gridCol w:w="146"/>
        <w:gridCol w:w="286"/>
        <w:gridCol w:w="1201"/>
        <w:gridCol w:w="241"/>
        <w:gridCol w:w="146"/>
        <w:gridCol w:w="546"/>
        <w:gridCol w:w="466"/>
      </w:tblGrid>
      <w:tr>
        <w:trPr/>
        <w:tc>
          <w:tcPr>
            <w:tcW w:w="381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br/>
              <w:t>Change</w:t>
            </w:r>
          </w:p>
        </w:tc>
      </w:tr>
      <w:tr>
        <w:trPr/>
        <w:tc>
          <w:tcPr>
            <w:tcW w:w="38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2" w:type="dxa"/>
            <w:gridSpan w:val="2"/>
            <w:vMerge w:val="continue"/>
            <w:tcBorders/>
            <w:vAlign w:val="bottom"/>
          </w:tcPr>
          <w:p>
            <w:pPr>
              <w:pStyle w:val="Normal"/>
              <w:bidi w:val="0"/>
              <w:jc w:val="left"/>
              <w:rPr/>
            </w:pPr>
            <w:r>
              <w:rPr/>
            </w:r>
          </w:p>
        </w:tc>
      </w:tr>
      <w:tr>
        <w:trPr/>
        <w:tc>
          <w:tcPr>
            <w:tcW w:w="38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19,613,798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27,042,943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(7,429,145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5,913,138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5,402,614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510,524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32,445,557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(6,918,621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decreased by approximately $7.4 million or 27% from approximately $27.0 million in the year ended June 30, 2023 to approximately $19.6 million in the year ended June 30, 2024. The decrease was primarily attributable to the decrease of hire rate for time charter during the year ended June 30, 2024. The vessel management services revenue increased by approximately $0.5 million or 9% from approximately $5.4 million in the year ended June 30, 2023 to approximately $5.9 million in the year ended June 30, 2024. The increase was mainly due to an increase in vessel management services contracts for the year ended June 30,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revenue stream:</w:t>
      </w:r>
    </w:p>
    <w:tbl>
      <w:tblPr>
        <w:tblW w:w="10205" w:type="dxa"/>
        <w:jc w:val="left"/>
        <w:tblInd w:w="0" w:type="dxa"/>
        <w:tblLayout w:type="fixed"/>
        <w:tblCellMar>
          <w:top w:w="0" w:type="dxa"/>
          <w:left w:w="0" w:type="dxa"/>
          <w:bottom w:w="0" w:type="dxa"/>
          <w:right w:w="0" w:type="dxa"/>
        </w:tblCellMar>
      </w:tblPr>
      <w:tblGrid>
        <w:gridCol w:w="4018"/>
        <w:gridCol w:w="146"/>
        <w:gridCol w:w="286"/>
        <w:gridCol w:w="1246"/>
        <w:gridCol w:w="146"/>
        <w:gridCol w:w="286"/>
        <w:gridCol w:w="1246"/>
        <w:gridCol w:w="146"/>
        <w:gridCol w:w="286"/>
        <w:gridCol w:w="1021"/>
        <w:gridCol w:w="241"/>
        <w:gridCol w:w="146"/>
        <w:gridCol w:w="475"/>
        <w:gridCol w:w="516"/>
      </w:tblGrid>
      <w:tr>
        <w:trPr/>
        <w:tc>
          <w:tcPr>
            <w:tcW w:w="40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12,958,301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13,151,715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5,218,970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4,916,597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302,373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18,068,312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9299" w:type="dxa"/>
        <w:jc w:val="left"/>
        <w:tblInd w:w="0" w:type="dxa"/>
        <w:tblLayout w:type="fixed"/>
        <w:tblCellMar>
          <w:top w:w="0" w:type="dxa"/>
          <w:left w:w="0" w:type="dxa"/>
          <w:bottom w:w="0" w:type="dxa"/>
          <w:right w:w="0" w:type="dxa"/>
        </w:tblCellMar>
      </w:tblPr>
      <w:tblGrid>
        <w:gridCol w:w="3091"/>
        <w:gridCol w:w="146"/>
        <w:gridCol w:w="286"/>
        <w:gridCol w:w="1246"/>
        <w:gridCol w:w="146"/>
        <w:gridCol w:w="286"/>
        <w:gridCol w:w="1246"/>
        <w:gridCol w:w="146"/>
        <w:gridCol w:w="286"/>
        <w:gridCol w:w="1021"/>
        <w:gridCol w:w="241"/>
        <w:gridCol w:w="146"/>
        <w:gridCol w:w="546"/>
        <w:gridCol w:w="466"/>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2" w:type="dxa"/>
            <w:gridSpan w:val="2"/>
            <w:vMerge w:val="continue"/>
            <w:tcBorders/>
            <w:vAlign w:val="bottom"/>
          </w:tcPr>
          <w:p>
            <w:pPr>
              <w:pStyle w:val="Normal"/>
              <w:bidi w:val="0"/>
              <w:jc w:val="left"/>
              <w:rPr/>
            </w:pPr>
            <w:r>
              <w:rPr/>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type: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2,912,582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3,598,016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(685,434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3,650,085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3,463,076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187,009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6,104,637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5,909,905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5,509,967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5,097,315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412,652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18,068,312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mainly consists of vessel lease expense, depreciation and amortization, crew salaries and others. Our cost amounted to approximately $18.2 million for the year ended June 30, 2024, representing an increase of approximately $0.1 million or 1% compared to approximately $18.1 million for the year ended June 30, 2023. The increase was due to no-load fuel consumption, lubricating oil and spare parts costs incurred during dry-docking.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 was approximately $2.9 million for the year ended June 30, 2024, representing a decrease of approximately $0.7 million compared to approximately $3.6 million for the year ended June 30, 2023. Our vessel lease expense represents the operating lease expense for Top Advancer. As the gross daily hire is calculated based on Baltic Supramax index (“BSI”) 58 10TC published by the Baltic Exchange, the hire decreased significantly following the BSI changes in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were approximately $3.7 million for the year ended June 30, 2024, representing an increase of approximately $0.2 million compared to approximately $3.5 million for the year ended June 30, 2023. The increase was due to the depreciation expenses of newly installed desulfurizing towers on Top Diligence and Top Elegance.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salaries were approximately $6.1 million for the year ended June 30, 2024, representing an increase of approximately $0.2 million compared to approximately $5.9 million for the year ended June 30, 2023. The Group offers competitive salaries for crew members. Crew salaries fluctuate with the market salaries.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 was approximately $5.5 million for the year ended June 30, 2024, representing an increase of approximately $0.4 million compared to approximately $5.1 million for the year ended June 30, 2023. The increase was due to no-load fuel consumption, lubricating oil and spare parts costs incurred during dry-docking.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tbl>
      <w:tblPr>
        <w:tblW w:w="9846" w:type="dxa"/>
        <w:jc w:val="left"/>
        <w:tblInd w:w="0" w:type="dxa"/>
        <w:tblLayout w:type="fixed"/>
        <w:tblCellMar>
          <w:top w:w="0" w:type="dxa"/>
          <w:left w:w="0" w:type="dxa"/>
          <w:bottom w:w="0" w:type="dxa"/>
          <w:right w:w="0" w:type="dxa"/>
        </w:tblCellMar>
      </w:tblPr>
      <w:tblGrid>
        <w:gridCol w:w="4501"/>
        <w:gridCol w:w="146"/>
        <w:gridCol w:w="286"/>
        <w:gridCol w:w="1126"/>
        <w:gridCol w:w="146"/>
        <w:gridCol w:w="478"/>
        <w:gridCol w:w="408"/>
        <w:gridCol w:w="146"/>
        <w:gridCol w:w="286"/>
        <w:gridCol w:w="1246"/>
        <w:gridCol w:w="146"/>
        <w:gridCol w:w="474"/>
        <w:gridCol w:w="457"/>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9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4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60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5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PROFIT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6,655,497</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13,891,228</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vessel management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694,168</w:t>
            </w:r>
          </w:p>
        </w:tc>
        <w:tc>
          <w:tcPr>
            <w:tcW w:w="146"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486,017</w:t>
            </w:r>
          </w:p>
        </w:tc>
        <w:tc>
          <w:tcPr>
            <w:tcW w:w="146"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7,349,665</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14,377,245</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gross profit amounted to approximately $7.3 million for the year ended June 30, 2024, compared to a gross profit of approximately $14.4 million for the year ended June 30, 2023. Gross margin as a percentage of overall revenue for the years ended June 30, 2024 and 2023 was 29% and 44%, respectively. The decrease in gross profit margin was primarily due to lower gross profit margin for time charter in the year ended June 30, 2024. Gross profit margin for time charter was 34% and 51%, respectively, for the years ended June 30, 2024 and 2023. While time charter revenue and vessel lease expense decreased by 27% and 19%, respectively, following the market hire rate fluctuation, we have other fixed costs such as depreciation and amortization and crew salaries which don’t have strict linear relationship with revenue, thus the time charter cost decrease was not as significant as time charter revenue decrease, which brought down the gross profit margin.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tbl>
      <w:tblPr>
        <w:tblW w:w="9832" w:type="dxa"/>
        <w:jc w:val="left"/>
        <w:tblInd w:w="0" w:type="dxa"/>
        <w:tblLayout w:type="fixed"/>
        <w:tblCellMar>
          <w:top w:w="0" w:type="dxa"/>
          <w:left w:w="0" w:type="dxa"/>
          <w:bottom w:w="0" w:type="dxa"/>
          <w:right w:w="0" w:type="dxa"/>
        </w:tblCellMar>
      </w:tblPr>
      <w:tblGrid>
        <w:gridCol w:w="3781"/>
        <w:gridCol w:w="146"/>
        <w:gridCol w:w="301"/>
        <w:gridCol w:w="1261"/>
        <w:gridCol w:w="146"/>
        <w:gridCol w:w="301"/>
        <w:gridCol w:w="1051"/>
        <w:gridCol w:w="146"/>
        <w:gridCol w:w="301"/>
        <w:gridCol w:w="1261"/>
        <w:gridCol w:w="146"/>
        <w:gridCol w:w="568"/>
        <w:gridCol w:w="423"/>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793,521</w:t>
            </w:r>
          </w:p>
        </w:tc>
        <w:tc>
          <w:tcPr>
            <w:tcW w:w="146" w:type="dxa"/>
            <w:tcBorders/>
            <w:vAlign w:val="bottom"/>
          </w:tcPr>
          <w:p>
            <w:pPr>
              <w:pStyle w:val="TableContents"/>
              <w:bidi w:val="0"/>
              <w:spacing w:before="0" w:after="283"/>
              <w:jc w:val="left"/>
              <w:rPr/>
            </w:pPr>
            <w:r>
              <w:rPr/>
              <w:t> </w:t>
            </w:r>
          </w:p>
        </w:tc>
        <w:tc>
          <w:tcPr>
            <w:tcW w:w="5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146"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2,270,958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876,437</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1,394,521</w:t>
            </w:r>
          </w:p>
        </w:tc>
        <w:tc>
          <w:tcPr>
            <w:tcW w:w="146" w:type="dxa"/>
            <w:tcBorders/>
            <w:vAlign w:val="bottom"/>
          </w:tcPr>
          <w:p>
            <w:pPr>
              <w:pStyle w:val="TableContents"/>
              <w:bidi w:val="0"/>
              <w:spacing w:before="0" w:after="283"/>
              <w:jc w:val="left"/>
              <w:rPr/>
            </w:pPr>
            <w:r>
              <w:rPr/>
              <w:t> </w:t>
            </w:r>
          </w:p>
        </w:tc>
        <w:tc>
          <w:tcPr>
            <w:tcW w:w="5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4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consist of general and administrative expenses, and research and development expenses. Operating expenses increased by approximately $1.4 million, or 159%, from approximately $0.9 million for the year ended June 30, 2023 to approximately $2.3 million for the year ended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primarily consist of salary and compensation expenses relating to our accounting, human resources, and executive office personnel, and also included office rental and depreciation and amortization expenses, office overhead, professional service fees and travel and transportation costs. General and administrative expenses increased by approximately $0.8 million due to (a) professional consulting and legal fees increased by approximately $0.7 million from $nil for the year ended June 30, 2023 to approximately $0.7 million for the year ended June 30, 2024, (b) other expenses including, depreciation and amortization, rental and property management expense etc. increased approximately $0.1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incurred $0.6 million research and development expenses for entrusting a third party to develop a bio-pulping technology big data platform.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expenses,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 primarily consists of interest income, interest expense and other income. Other expense, net was approximately $1.9 million in the year ended June 30, 2024, representing a decrease of approximately $0.7 million, or approximately 26%, as compared to approximately $2.6 million in the year ended June 30, 2023 due to the following reasons: (a) interest income increased by approximately $0.1 million in the year ended June 30, 2024; and (b) other income, net was approximately $0.5 million in the year ended June 30, 2024, as compared to other expense, net of approximately $0.1 million in the year ended June 30, 2023. The change of other income (expenses) was mainly due to the compensation for one customer’s early termination of time charter of contract for the year ended June 30,2024.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net income amounted to approximately $3.1 million for the year ended June 30, 2024, compared to a net income of approximately $10.9 million for the year ended June 30,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British Virgin Islands Taxation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laws of the British Virgin Islands, the Group’s subsidiary incorporated in BVI is not subject to income tax.</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shipping subsidiaries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from shipping subsidiaries is either not subject or exempt from income tax according to the tax regulations prevailing in the jurisdiction in which the Group operates. Hong Kong does not impose withholding tax on dividends and interest currently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Mainland China Tax Laws and Regulations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Enterprise Income Tax Law and the Implementing Rules impose a uniform 25% enterprise income tax rate to both foreign invested enterprises and domestic enterprises in mainland China, except where tax incentives are granted to special industries and projects. Under the Enterprise Income Tax Law, an enterprise established outside PRC with “de facto management bodies” within mainland China is considered a “resident enterprise” for mainland China enterprise income tax purposes and is generally subject to a uniform 25% enterprise income tax rate on its worldwide income. The Notice Regarding the Determination of Chinese-Controlled Offshore Incorporated Enterprises as PRC Tax Resident Enterprises on the Basis of De Facto Management Bodies promulgated by the SAT and last amended on December 29, 2017 and the Announcement of the State Administration of Taxation on Issues concerning the Determination of Resident Enterprises Based on the Standards of Actual Management Institutions promulgated by the SAT on January 29, 2014 set out the standards used to classify certain Chinese invested enterprises controlled by mainland China enterprises or mainland China enterprise groups and established outside of China as “resident enterprises”, which also clarified that dividends and other income paid by such mainland China “resident enterprises” will be considered mainland China source income and subject to mainland China withholding tax, currently at a rate of 10%, when paid to non-mainland China enterprise shareholders. This notice also subjects such mainland China “resident enterprises” to various reporting requirements with the mainland China tax authorities. Under the Implementing Rules, a “de facto management body” is defined as a body that has material and overall management and control over the manufacturing and business operations, personnel and human resources, finances and properties of an enterprise. On October 17, 2017, the SAT issued the Bulletin on Issues Concerning the Withholding of Non-PRC Resident Enterprise Income Tax at Source, or Bulletin 37, which replaced the Notice on Strengthening Administration of Enterprise Income Tax for Share Transfers by Non-PRC Resident Enterprises, issued by the SAT, on December 10, 2009, and partially replaced and supplemented by the rules under the Bulletin on Issues of Enterprise Income Tax on Indirect Transfers of Assets by Non-PRC Resident Enterprises, or Bulletin 7, issued by the SAT, on February 3, 2015. Under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In respect of an indirect offshore transfer of assets of a mainland China establishment, the relevant gain is to be regarded as effectively connected with the mainland China establishment and therefore included in its enterprise income tax filing, and would consequently be subject to enterprise income tax at a rate of 25%. Where the underlying transfer relates to the immoveable properties in China or to equity investments in a PRC resident enterprise, which is not effectively connected to a mainland China establishment of a non-resident enterprise, a PRC enterprise income tax at 10% would apply, subject to available preferential tax treatment under applicable tax treaties or similar arrangements, and the party who is obligated to make the transfer payments bears the withholding obligation. Pursuant to Bulletin 37, the withholding party shall declare and pay the withheld tax to the competent tax authority in the place where such withholding party is located within 7 days from the date of occurrence of the withholding obligation. Both Bulletin 37 and Bulletin 7 do not apply to transactions of sale of shares by investors through a public stock exchange where such shares were acquired from a transaction through a public stock exchange.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National People’s Congress of the PRC enacted the Enterprise Income Tax Law, which became effective on January 1, 2008 and last amended on December 29, 2018. According to Enterprise Income Tax Law and the Regulation on the Implementation of the Enterprise Income Tax Law, or the Implementing Rules, which became effective on January 1, 2008 and further amended on April 23, 2019, dividends generated after January 1, 2008 and payable by a foreign-invested enterprise in mainland China to its foreign enterprise investors are subject to a 10% withholding tax, unless any such foreign enterprise investor’s jurisdiction of incorporation has a tax treaty with the PRC that provides for a preferential withholding arrangement. According to the Notice of the Arrangement between mainland China and the Hong Kong Special Administrative Region for the Avoidance of Double Taxation and Prevention of Fiscal Evasion with Respect to Taxes on Income (“Double Tax Avoidance Arrangement”), the withholding tax rate in respect of the payment of dividends by a mainland China enterprise to a Hong Kong enterprise may be reduced to 5% from a standard rate of 10% if the Hong Kong enterprise directly holds at least 25% of the mainland China enterprise and certain other conditions are met, including: (i) the Hong Kong enterprise must directly own the required percentage of equity interests and voting rights in the mainland China resident enterprise; and (ii) the Hong Kong enterprise must have directly owned such required percentage in the mainland China resident enterprise throughout the 12 months prior to receiving the dividends. However, based on the Circular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mainland China tax authorities may adjust the preferential tax treatment; and based on the Announcement on Certain Issues with Respect to the “Beneficial Owner” in Tax Treaties issued by the SAT on February 3, 2018 and effective from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 our operations solely in Hong Kong through our Hong Kong Subsidiaries without any operation, subsidiary or VIE structure in mainland China. None of our subsidiaries directly or indirectly hold any interests in any enterprises in mainland China, and all of our revenues and profits are generated by our Hong Kong Subsidiaries in Hong Kong. After consulting our counsel as to PRC law, we do not consider the said Enterprise Income Tax Law, or the Double Tax Avoidance Arrangement, or any mainland Chinese taxation law and regulations, restrict our ability to conduct our business, accept foreign investment or impose limitations on our ability to list on any U.S. or foreign stock exchange.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our operations are conducted in open sea and all of our revenue, expenses, and cash are denominated in USD. As of December 31, 2025, cash of approximately $4.0 million were held by the Group, of which $3.8 million were held in Singapore. As of June 30, 2025, cash of approximately $5.6 million were held by the Group, of which $5.5 million were held in Singapore.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holding company with no material operations of its own. We conduct operations primarily through our subsidiaries in Hong Kong. As a result, the Group’s ability to pay dividends depends upon dividends paid by our subsidiaries. Our subsidiaries in Hong Kong are permitted to pay dividends to us only out of their retained earnings, if any, as determined in accordance with the Hong Kong accounting standards and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its liquidity, the Group monitors and analyzes its cash on hand, ability to generate sufficient revenue sources in the future and operating and capital expenditure commitments. As of December 31, 2025, the Group had cash of approximately $4.0 million. As of December 31, 2025 and June 30, 2025, the Group’s working capital deficit was approximately $16.2 million and $15.7 million, respectively. As of June 30, 2025, the Group had cash of approximately $5.6 million. As of June 30, 2025 and 2024, the Group’s working capital deficit was approximately $15.7 million and $30.3 million,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March 31, 2026, the Company had cash and cash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equivalents amounting to approximately $3.8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ability for the Group to raise finances, the management has alleviated the substantial doubt about the Group’s ability to continue as a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the key components of our cash flows for the six months ended December 31, 2025 and 2024.</w:t>
      </w:r>
    </w:p>
    <w:tbl>
      <w:tblPr>
        <w:tblW w:w="8849" w:type="dxa"/>
        <w:jc w:val="left"/>
        <w:tblInd w:w="0" w:type="dxa"/>
        <w:tblLayout w:type="fixed"/>
        <w:tblCellMar>
          <w:top w:w="0" w:type="dxa"/>
          <w:left w:w="0" w:type="dxa"/>
          <w:bottom w:w="0" w:type="dxa"/>
          <w:right w:w="0" w:type="dxa"/>
        </w:tblCellMar>
      </w:tblPr>
      <w:tblGrid>
        <w:gridCol w:w="5056"/>
        <w:gridCol w:w="146"/>
        <w:gridCol w:w="286"/>
        <w:gridCol w:w="1201"/>
        <w:gridCol w:w="241"/>
        <w:gridCol w:w="146"/>
        <w:gridCol w:w="286"/>
        <w:gridCol w:w="1201"/>
        <w:gridCol w:w="28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(7,212,036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3,182,157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8,963,561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(546,901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(3,357,613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(1,481,971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(decrease)/increase in cash</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(1,606,088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1,153,285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was approximately $7.2 million for the six months ended December 31, 2025. Cash used in operating activities for the six months ended December 31, 2025 mainly consisted of net loss of approximately $2.7 million, noncash adjustments of approximately $4.2 million, an increase of approximately $8.2 million in prepayments and other assets primarily resulted from strategic payments made for advisory and consulting services in support of management’s expansion initiatives, these prepayments are associated with non-recurring project-based arrangements and are not indicative of the ongoing operating expenditure profile of the Group, and a decrease of approximate of $1.4 million in operating lease liabilities, offset by a decrease of approximately $1.0 million in accounts receivable(including accounts receivable-related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approximately $3.2 million for the six months ended December 31, 2024. Cash provided by operating activities for the six months ended December 31, 2024 mainly consisted of net income of approximately $0.9 million, noncash adjustments of approximately $3.6 million, a decrease of approximately $0.3 million in accounts receivable, offset by a decrease of approximate of $1.7 million in operating lease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 for the six months ended December 31, 2025 was approximately $9.0 million, mainly consisting of purchase of long-lived assets for approximately $1.3 million and receive from short-term investment for approximately $10.3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six months ended December 31, 2024 was approximately $0.5 million, mainly consisting of purchase of long-lived assets for approximately $0.5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approximately $3.4 million for the six months ended December 31, 2025, consisted of repayment of loan from related-party of approximately $3.0 million, financing lease-principal repayment of approximately $1.7 million, and repayment long-term loan of approximately $0.8 million, offset by proceeds from convertible note of approximately $2.0 million and proceeds from private placement of approximately $0.2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approximately $1.5 million for the six months ended December 31, 2024, consisted of repayment of long-term loan of approximately $0.8 million, financing lease-principal repayment of approximately $1.6 million, and deferred IPO cost of approximately $0.4 million, offset by proceeds from private placement of approximately $1.4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the key components of our cash flows for the years ended June 30, 2025, 2024 and 2023.</w:t>
      </w:r>
    </w:p>
    <w:tbl>
      <w:tblPr>
        <w:tblW w:w="10205" w:type="dxa"/>
        <w:jc w:val="left"/>
        <w:tblInd w:w="0" w:type="dxa"/>
        <w:tblLayout w:type="fixed"/>
        <w:tblCellMar>
          <w:top w:w="0" w:type="dxa"/>
          <w:left w:w="0" w:type="dxa"/>
          <w:bottom w:w="0" w:type="dxa"/>
          <w:right w:w="0" w:type="dxa"/>
        </w:tblCellMar>
      </w:tblPr>
      <w:tblGrid>
        <w:gridCol w:w="4178"/>
        <w:gridCol w:w="146"/>
        <w:gridCol w:w="286"/>
        <w:gridCol w:w="1321"/>
        <w:gridCol w:w="241"/>
        <w:gridCol w:w="146"/>
        <w:gridCol w:w="286"/>
        <w:gridCol w:w="1321"/>
        <w:gridCol w:w="241"/>
        <w:gridCol w:w="146"/>
        <w:gridCol w:w="286"/>
        <w:gridCol w:w="1321"/>
        <w:gridCol w:w="286"/>
      </w:tblGrid>
      <w:tr>
        <w:trPr/>
        <w:tc>
          <w:tcPr>
            <w:tcW w:w="41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8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41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7,401,485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6,477,442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13,569,094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(11,253,967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10,524,341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(23,995,575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5,749,310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(16,666,135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3,411,332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1,896,828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335,648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(7,015,149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approximately $7.4 million for the year ended June 30, 2025, as compared to approximately $6.5 million net cash provided by operating activities for the year ended June 30, 2024. Cash provided by operating activities for the year ended June 30, 2025 mainly consisted of net income of approximately $3.1 million, noncash adjustments of approximately $7.0 million, an increase of approximately $0.8 million in accrued expenses and other liabilities, a decrease of approximately $0.7 million in accounts receivable, a decrease of approximately $0.3 million in prepayments and other assets and an increase of approximately $0.2 million in advance from customers-related party, offset by a decrease of approximately $3.2 million in operating leases payable, an increase of approximately $0.9 million in accounts receivable-related parties and a decrease of approximately $0.6 million in accounts payable.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approximately $6.5 million for the year ended June 30, 2024, as compared to approximately $13.6 million net cash provided by operating activities for the year ended June 30, 2023. Cash provided by operating activities for the year ended June 30, 2024 mainly consisted of net income of approximately $3.1 million, noncash adjustments of approximately $7.0 million, an increase of approximately $0.3 million in accrued expenses and other liabilities, an increase of approximately $0.1 million in accounts payables, a decrease of approximately $0.1 million in due from related parties, offset by an increase of approximately $0.2 million in accounts receivable, an increase of approximately $0.2 million in prepayments and other assets, a decrease of approximately $2.9 million in operating leases payable, a decrease of approximately $0.5 million in long-term deposit, a decrease of approximately $0.2 million in due to related parties, and a decrease of approximately $0.2 million in advance from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approximately $13.6 million for the year ended June 30, 2023, as compared to approximately $12.3 million net cash provided by operating activities for the year ended June 30, 2022. Cash provided by operating activities for the year ended June 30, 2023 mainly consisted of net income of approximately $10.9 million, noncash adjustments of approximately $6.5 million, an increase of approximately $0.1 million in accounts receivable due to increased revenue for the year ended June 30, 2023, a decrease of approximately $0.6 million in due from related parties, a decrease of approximately $0.4 million in due to related parties, and a decrease of approximately $0.1 million in accrued expenses and other liabilities and a decrease of approximately $2.8 million in operating leases payable.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year ended June 30, 2025 was approximately $11.3 million, mainly consisting of purchase of long-lived assets for approximately $1.1 million and short-term investment of approximately $10.2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 for the year ended June 30, 2024 was approximately $10.5 million, mainly consisting of withdrawal of time deposit through a related party of approximately $12.5 million, offset by purchase of long-lived assets for approximately $0.7 million, payment for dry-docking cost for approximately $0.8 million and purchase of time deposit through a related party of approximately $0.5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year ended June 30, 2023 was approximately $24.0 million, mainly consisting of property purchases such as a vessel for approximately $12.0 million, purchase of time deposit through a related party of approximately $21.5 million and withdrawal of time deposit through a related party of approximately $9.5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approximately $5.7 million for the year ended June 30, 2025, mainly consisted of proceeds from initial public offering of approximately $10.6 million, proceeds from private placement of approximately $1.4 million, offset by financing lease-principal repayment of approximately $3.4 million, repayment of long-term loan from a third-party approximately $1.7 million, repayment of loan from related-party approximately $0.3 million and payment of deferred IPO cost of approximately $0.9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approximately $16.7 million for the year ended June 30, 2024, mainly consisted of repayment of long-term loan from a third-party approximately $3.0 million, financing lease-principal repayment of approximately $3.2 million, dividends to shareholders of approximately $11.8 million, payment of deferred IPO cost of approximately $0.3 million, and offset by proceeds from private placement of approximately $1.6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approximately $3.4 million for the year ended June 30, 2023, mainly consisted of loan received from a third-party, net of debt issuance cost approximately $9.5 million, offset by repayment of long-term loan from a third-party approximately $1.9 million, financing lease-principal repayment of approximately $3.2 million, proceeds from a related party of approximately $3.4 million, dividends to shareholders of approximately $3.9 million, and payment of loan security deposit $0.5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 Expenditures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made capital expenditures of approximately $1.3 million and $0.5 million for the six months ended December 31, 2025 and 2024, respectively. For the years ended June 30, 2025, 2024 and 2023, our capital expenditure was approximately $1.1 million, $1.5 million and $12.0 million, respectively. Our capital expenditures were mainly used for vessel purchase and improvements.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Contractual Obligations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had an outstanding loan of $2,101,891 as of December 31, 2025. The Group has also entered into non-cancellable operating and financing lease agreements to charter-in vessels, which will expire in January 2026, September 2028 and January 2029,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contractual obligations and commercial commitments as of December 31, 2025, which are presented on an undiscounted basis:</w:t>
      </w:r>
    </w:p>
    <w:tbl>
      <w:tblPr>
        <w:tblW w:w="10205" w:type="dxa"/>
        <w:jc w:val="left"/>
        <w:tblInd w:w="0" w:type="dxa"/>
        <w:tblLayout w:type="fixed"/>
        <w:tblCellMar>
          <w:top w:w="0" w:type="dxa"/>
          <w:left w:w="0" w:type="dxa"/>
          <w:bottom w:w="0" w:type="dxa"/>
          <w:right w:w="0" w:type="dxa"/>
        </w:tblCellMar>
      </w:tblPr>
      <w:tblGrid>
        <w:gridCol w:w="2500"/>
        <w:gridCol w:w="146"/>
        <w:gridCol w:w="286"/>
        <w:gridCol w:w="1246"/>
        <w:gridCol w:w="146"/>
        <w:gridCol w:w="286"/>
        <w:gridCol w:w="1126"/>
        <w:gridCol w:w="146"/>
        <w:gridCol w:w="286"/>
        <w:gridCol w:w="1126"/>
        <w:gridCol w:w="146"/>
        <w:gridCol w:w="286"/>
        <w:gridCol w:w="1126"/>
        <w:gridCol w:w="146"/>
        <w:gridCol w:w="467"/>
        <w:gridCol w:w="740"/>
      </w:tblGrid>
      <w:tr>
        <w:trPr/>
        <w:tc>
          <w:tcPr>
            <w:tcW w:w="250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5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Due by Fiscal Years Ending June 30,</w:t>
            </w:r>
          </w:p>
        </w:tc>
      </w:tr>
      <w:tr>
        <w:trPr/>
        <w:tc>
          <w:tcPr>
            <w:tcW w:w="25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 Year</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 3 Years</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 5 Years</w:t>
            </w:r>
          </w:p>
        </w:tc>
        <w:tc>
          <w:tcPr>
            <w:tcW w:w="146"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More than </w:t>
              <w:br/>
              <w:t>5 Years</w:t>
            </w:r>
          </w:p>
        </w:tc>
      </w:tr>
      <w:tr>
        <w:trPr/>
        <w:tc>
          <w:tcPr>
            <w:tcW w:w="2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arrangements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14,002,884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2,080,635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7,739,495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4,182,754</w:t>
            </w:r>
          </w:p>
        </w:tc>
        <w:tc>
          <w:tcPr>
            <w:tcW w:w="146"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2,129,520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828,144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1,301,376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16,132,404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2,908,779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9,040,871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4,182,754</w:t>
            </w:r>
          </w:p>
        </w:tc>
        <w:tc>
          <w:tcPr>
            <w:tcW w:w="146" w:type="dxa"/>
            <w:tcBorders/>
            <w:shd w:fill="CCEEFF" w:val="clear"/>
            <w:vAlign w:val="bottom"/>
          </w:tcPr>
          <w:p>
            <w:pPr>
              <w:pStyle w:val="TableContents"/>
              <w:bidi w:val="0"/>
              <w:spacing w:before="0" w:after="283"/>
              <w:jc w:val="left"/>
              <w:rPr/>
            </w:pPr>
            <w:r>
              <w:rPr/>
              <w:t> </w:t>
            </w:r>
          </w:p>
        </w:tc>
        <w:tc>
          <w:tcPr>
            <w:tcW w:w="4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off-balance sheet arrangements for six months ended December 31, 2025 and 2024 and for the years ended June 30, 2025, 2024 and 2023 that have or that in the opinion of management are likely to have, a current or future material effect on our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Patents and Licenses, Etc.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“Item 4.D. Property, Plants, and Equipment — Intellectual Property” in the 20-F filed on October 30,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Trend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Inflation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Inflationary factors, such as increases in personnel and overhead costs, could impair the Company’s operating results. Although the Company does not believe that inflation has had a material impact on its financial position or results of operations to date, a high rate of inflation in the future may have an adverse effect on the Company’s ability to maintain current levels of operating expense as a percentage of sales revenue if the revenues do not increase.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Rate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exposure to interest rate risk primarily relates to the interest expenses on our long-term loan. Our long-term loan bears interest at variable rate. Our future interest expenses may exceed expectations due to changes in market interest rates. Increased interest rates may have a material impact on our results of operations and financial condition. Historically, we incurred total interest expense amounted to $1.2 million for the six months ended December 31, 2025 and 2024 and interest expense of $1.9 million and $2.7 million for the years ended June 30, 2025 and 2024. Increased interest rates will have a direct impact on us by increasing our interest expenses and in turn decreasing our cash. As of December 31, 2025, we had approximately total $2.1 million of long-term loan. In addition, as increased interest rates would make it more costly for us to fund our operations by borrowing, we would need to take additional measures to maintain a healthy cash flow, such as by tightening our control over accounts payable and accounts receivable. We may do so by, for example, further negotiating credit terms with customers and suppliers. As a result, our accounts receivable may decrease and our accounts payable may increase to offset the impact of higher borrowing costs.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Internal Control Over Financial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the standards established by the PCAOB, a “material weakness” is a deficiency, or a combination of deficiencies, in internal control, such that there is a reasonable possibility that a material misstatement of our company’s annual or interim consolidated financial statements will not be prevented or detected on a timely basis. In connection with the audits of our consolidated financial statements included in this annual report, we and our independent registered public accounting firm identified one material weaknesses in our internal control over financial reporting as of December 31, 2025. The material weaknesses identified relate to our lack of sufficient competent 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remediate our identified material weakness, we are in the process of implementing a number of measures to improve our internal controls over financial reporting, including, among others: (a) hiring additional qualified accounting and financial personnel with appropriate knowledge and experience in U.S. GAAP and SEC reporting requirements and (b) organizing regular training for our accounting staff,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our unaudited condensed consolidated financial statements we have made estimates and assumptions that affect the reported amounts of assets and liabilities at the date of the unaudited condensed consolidated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Significant accounting estimates required to be made by management include, but are not limited to impairment of long-lived assets, determination of incremental borrowing rate for leases, expected credit loss of receivables. A summary of our significant accounting policies which are important to the portrayal of our financial condition and results of operations is set forth in Note 2 to our unaudited condensed consolidated financial statements included in this filing.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Estimation on fair value of vessels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totaling approximately $47.9 million as of December 31, 2025 and accounting for 76% of our total assets, are our most important operating assets. We review periodically for potential impairment whenever events or changes in circumstances indicate that the carrying value may not be fully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for impairment and determined that there was no impairment as of December 31, 2025 and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recent relevant accounting pronouncements is included in Note 2 “Summary of Significant Accounting Policies” of our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3"/>
      <w:bookmarkEnd w:id="12"/>
      <w:r>
        <w:rPr>
          <w:rFonts w:ascii="Times New Roman PS Std;serif" w:hAnsi="Times New Roman PS Std;serif"/>
          <w:b/>
          <w:i w:val="false"/>
          <w:caps w:val="false"/>
          <w:smallCaps w:val="false"/>
          <w:sz w:val="20"/>
        </w:rPr>
        <w:t xml:space="preserve">BUSINESS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Mission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aim to leave green footprints across the oceans through our maritime shipping and seaborne pulping operation.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Corporate History and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Closing of IPO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2025, Intercont closed its initial public offering (“IPO”) of 1,500,000 Ordinary Shares. Intercont completed the IPO pursuant to its registration statement on Form F-1 (File No. 333-282394), which was initially filed with the U.S. Securities and Exchange Commission (the “SEC”) on September 27, 2024, as amended, and declared effective by the SEC on March 27, 2025. The Ordinary Shares were priced at $7.00 per share, and the offering was conducted on a firm commitment basis. The Ordinary Shares were previously approved for listing on The Nasdaq Capital Market and commenced trading under the ticker symbol “NCT” on March 28,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Over-allotment Option Exercise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2025, Kingswood Capital Partners, LLC., as the representative of the underwriters (the “Representative”) of the initial public offering of Intercont (Cayman) Limited (the “Company”), exercised its over-allotment option in part to purchase an additional 175,000 ordinary shares par value US$0.0001 per share (the “Ordinary Shares”) of the Company at the public offering price of $7.00 per share (the “Offering Price”), before deducting underwriting discounts (the “Option”). The Option was granted to the Representative pursuant to the underwriting agreement entered into by and between the Company and the Representative on March 27, 2025 (the “Underwriting Agreement”) relating to the Company’s IPO. The closing for the sale of the over-allotment shares took place on April 7, 2025 (the “Option Closing”).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January 2026 Extraordinary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the Company held its extraordinary shareholder general meeting (the “First EGM”). At the First EGM, the shareholders of the Company adopted the following resolutions: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ordinary shares and per share data for all periods in this filing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June 2026 Extraordinary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Class A Meeting: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newly increased and unissued 79,960,206,598.04 Ordinary Shares be redesignated as Class A Shares;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newly increased and unissued 19,999,793,401.96 Ordinary Shares be redesignated into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Second EGM: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newly increased and unissued 79,960,206,598.04 Ordinary Shares be redesignated as Class A Shares;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newly increased and unissued 19,999,793,401.96 Ordinary Shares be redesignated into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Corporate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Ordinary Shares are traded on Nasdaq under the same ticker symbol “NCT”. Our registered office in the Cayman Islands is located at the offices of ICS Corporate Services (Cayman) Limited, Palm Grove Unit 4, 265 Smith Road, George Town, P.O. Box 52A Edgewater Way, #1653, Grand Cayman KY1-9006, Cayman Islands. Our agent for service of process in the United States is Cogency Global Inc., 122 East 42nd Street, 18th Floor, New York, New York 1001. Our principal executive offices are located at 39 Ocean Drive Singapore. We can be reached by telephone at +65 88182399 and our website is </w:t>
      </w:r>
      <w:r>
        <w:rPr>
          <w:rFonts w:ascii="Times New Roman PS Std;serif" w:hAnsi="Times New Roman PS Std;serif"/>
          <w:b w:val="false"/>
          <w:i/>
          <w:caps w:val="false"/>
          <w:smallCaps w:val="false"/>
          <w:sz w:val="20"/>
        </w:rPr>
        <w:t>https://www.intercontcayman.com</w:t>
      </w:r>
      <w:r>
        <w:rPr>
          <w:rFonts w:ascii="Times New Roman PS Std;serif" w:hAnsi="Times New Roman PS Std;serif"/>
          <w:b w:val="false"/>
          <w:i w:val="false"/>
          <w:caps w:val="false"/>
          <w:smallCaps w:val="false"/>
          <w:sz w:val="20"/>
        </w:rPr>
        <w:t>. The Securities and Exchange Commission (SEC) maintains an Internet 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that contains reports, proxy and information statements, and other information regarding issuers that file electronically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diagram illustrates our corporate structure as of the date of this prospectus.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53100" cy="22155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53100" cy="2215515"/>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the six months ended December 31, 2025 and 2024, respectively, which constitute 100% of the Group’s revenue in the past three fiscal years.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plans to operate its seaborne pulping business through Openwindow and build its seaborne pulping business upon its long-established global maritime shipping operations. Via a combination of self-owned factory ships and partnership with other shipowners for leased-in factory ships, the Group plans to launch its seaborne pulping business in an orderly manner at an appropriate time once external economic and political conditions stabilize.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Global Maritime Shipping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our global maritime shipping services through our Shipping Subsidiaries in Hong Kong. Currently, the Group derives all of its revenue from its global maritime shipping business, where it expects to see steady growth. The Group’s global maritime shipping business generated revenues of US$12.6 million and US$13.4 million in the six months ended 2025 and 2024, respectively. The Group’s global maritime shipping business generated revenues of US$25.1 million, US$25.5 million and US$32.4 million in the fiscal years ended June 30, 2025, 2024 and 2023, respectively. For the six months ended 2025 and 2024, our net loss(income) was US$2.7 million and US$0.9 million, respectively. For the fiscal years 2025, 2024 and 2023, our net income was US$3.1 million, US$3.1 million and US$10.9 million, respectively. Specifically, our shipping business consists of two segments, time chartering and vessel management services.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Time Chartering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owns a vessel and leases it to charterers. Top Creation leased a vessel from Zhejiang Shipping (Hongkong) Co. Ltd., the lease of which expired in January 2026. Top Creation does not intend to renew such lease upon expiration. Each of Top Legend and Max Bright leases a vessel from a related party of the Group. Each of Top Creation, Top Legend, and Max Bright in turn charters the leased vessels to other short time charterers. Each of Top Moral, Top Creation, Top Legend, and Max Bright derives its revenue from the chartering businesses. The charterers use these vessels as bulk carriers, transporting iron ore, coal, grain, and other goods. The total cargo carrying capacity of our fleet is 153,823 dwt (excluding the vessel leased by Top Creation).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deploy our fleet either on time charter trips or spot voyages of short-term duration. In the long run, our fleet could potentially be employed on a mix of period charters, including time charters which can last up to several years, and spot market charters, which generally last from one to six months, and in pools, according to our assessment of then market conditions. Currently, our bulk vessels are employed under time charters usually lasting one (1) to twenty-four (24) months.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Vessel Management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Wisdom derives its revenue from vessel management services. These services include hiring crew, obtaining insurance policies, conducting safety inspection, and providing technology support for the clients’ vessels and voyages. Top Wisdom charges a certain amount of money from its client and uses such money to pay for the crew and other costs. The surplus after paying out the costs constitutes Top Wisdom’s profit.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the vessel service agreements have a term longer than one year and are typically billed on a monthly basis. Currently, Top Wisdom provides management service for eight (8) vessels, including the vessels of Top Moral, Top Creation, Top Legend, and Max Bright. For the six months ended 2025 and 2024, Top Wisdom derived approximately 57.64% and 58.07% of its revenue from affiliated entities, respectively. For the fiscal years 2025, 2024 and 2023, Top Wisdom derived approximately 69.79%, 68.21% and 89.68% of its revenue from affiliated entities,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Our Fleet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the profile and deployment of the Shipping Subsidiaries’ fleet is as the following:</w:t>
      </w:r>
    </w:p>
    <w:tbl>
      <w:tblPr>
        <w:tblW w:w="12329" w:type="dxa"/>
        <w:jc w:val="left"/>
        <w:tblInd w:w="0" w:type="dxa"/>
        <w:tblLayout w:type="fixed"/>
        <w:tblCellMar>
          <w:top w:w="0" w:type="dxa"/>
          <w:left w:w="0" w:type="dxa"/>
          <w:bottom w:w="0" w:type="dxa"/>
          <w:right w:w="0" w:type="dxa"/>
        </w:tblCellMar>
      </w:tblPr>
      <w:tblGrid>
        <w:gridCol w:w="836"/>
        <w:gridCol w:w="146"/>
        <w:gridCol w:w="1246"/>
        <w:gridCol w:w="146"/>
        <w:gridCol w:w="1156"/>
        <w:gridCol w:w="146"/>
        <w:gridCol w:w="646"/>
        <w:gridCol w:w="146"/>
        <w:gridCol w:w="991"/>
        <w:gridCol w:w="146"/>
        <w:gridCol w:w="1111"/>
        <w:gridCol w:w="146"/>
        <w:gridCol w:w="871"/>
        <w:gridCol w:w="146"/>
        <w:gridCol w:w="1051"/>
        <w:gridCol w:w="146"/>
        <w:gridCol w:w="1531"/>
        <w:gridCol w:w="146"/>
        <w:gridCol w:w="1576"/>
      </w:tblGrid>
      <w:tr>
        <w:trPr/>
        <w:tc>
          <w:tcPr>
            <w:tcW w:w="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Owner/ </w:t>
              <w:br/>
              <w:t>Sublessor</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Charterer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w:t>
              <w:br/>
              <w:t>Built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Country </w:t>
              <w:br/>
              <w:t>Built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Vessel </w:t>
              <w:br/>
              <w:t>Size (dwt)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Vessel </w:t>
              <w:br/>
              <w:t>Type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Status</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Charter Rate</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of </w:t>
              <w:br/>
              <w:t>Charter</w:t>
            </w:r>
          </w:p>
        </w:tc>
      </w:tr>
      <w:tr>
        <w:trPr/>
        <w:tc>
          <w:tcPr>
            <w:tcW w:w="12329" w:type="dxa"/>
            <w:gridSpan w:val="19"/>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Self-Owned Vessel</w:t>
            </w:r>
          </w:p>
        </w:tc>
      </w:tr>
      <w:tr>
        <w:trPr/>
        <w:tc>
          <w:tcPr>
            <w:tcW w:w="83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Brilliance</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tcPr>
          <w:p>
            <w:pPr>
              <w:pStyle w:val="TableContents"/>
              <w:bidi w:val="0"/>
              <w:spacing w:before="0" w:after="283"/>
              <w:jc w:val="left"/>
              <w:rPr/>
            </w:pPr>
            <w:r>
              <w:rPr/>
              <w:t> </w:t>
            </w:r>
          </w:p>
        </w:tc>
        <w:tc>
          <w:tcPr>
            <w:tcW w:w="64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2008</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56,823</w:t>
            </w:r>
          </w:p>
        </w:tc>
        <w:tc>
          <w:tcPr>
            <w:tcW w:w="146" w:type="dxa"/>
            <w:tcBorders/>
          </w:tcPr>
          <w:p>
            <w:pPr>
              <w:pStyle w:val="TableContents"/>
              <w:bidi w:val="0"/>
              <w:spacing w:before="0" w:after="283"/>
              <w:jc w:val="left"/>
              <w:rPr/>
            </w:pPr>
            <w:r>
              <w:rPr/>
              <w:t> </w:t>
            </w:r>
          </w:p>
        </w:tc>
        <w:tc>
          <w:tcPr>
            <w:tcW w:w="8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Bulk Carrier</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w:t>
            </w:r>
          </w:p>
        </w:tc>
        <w:tc>
          <w:tcPr>
            <w:tcW w:w="146" w:type="dxa"/>
            <w:tcBorders/>
          </w:tcPr>
          <w:p>
            <w:pPr>
              <w:pStyle w:val="TableContents"/>
              <w:bidi w:val="0"/>
              <w:spacing w:before="0" w:after="283"/>
              <w:jc w:val="left"/>
              <w:rPr/>
            </w:pPr>
            <w:r>
              <w:rPr/>
              <w:t> </w:t>
            </w:r>
          </w:p>
        </w:tc>
        <w:tc>
          <w:tcPr>
            <w:tcW w:w="153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depending on the market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2329" w:type="dxa"/>
            <w:gridSpan w:val="19"/>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 Vessels</w:t>
            </w:r>
          </w:p>
        </w:tc>
      </w:tr>
      <w:tr>
        <w:trPr/>
        <w:tc>
          <w:tcPr>
            <w:tcW w:w="83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Advancer</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Zhejiang Shipping (Hongkong) Co. Ltd.</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w:t>
            </w:r>
          </w:p>
        </w:tc>
        <w:tc>
          <w:tcPr>
            <w:tcW w:w="146" w:type="dxa"/>
            <w:tcBorders/>
          </w:tcPr>
          <w:p>
            <w:pPr>
              <w:pStyle w:val="TableContents"/>
              <w:bidi w:val="0"/>
              <w:spacing w:before="0" w:after="283"/>
              <w:jc w:val="left"/>
              <w:rPr/>
            </w:pPr>
            <w:r>
              <w:rPr/>
              <w:t> </w:t>
            </w:r>
          </w:p>
        </w:tc>
        <w:tc>
          <w:tcPr>
            <w:tcW w:w="64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63,368</w:t>
            </w:r>
          </w:p>
        </w:tc>
        <w:tc>
          <w:tcPr>
            <w:tcW w:w="146" w:type="dxa"/>
            <w:tcBorders/>
          </w:tcPr>
          <w:p>
            <w:pPr>
              <w:pStyle w:val="TableContents"/>
              <w:bidi w:val="0"/>
              <w:spacing w:before="0" w:after="283"/>
              <w:jc w:val="left"/>
              <w:rPr/>
            </w:pPr>
            <w:r>
              <w:rPr/>
              <w:t> </w:t>
            </w:r>
          </w:p>
        </w:tc>
        <w:tc>
          <w:tcPr>
            <w:tcW w:w="8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Bulk Carrier</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Leased-in on a bareboat basis(3)</w:t>
            </w:r>
          </w:p>
        </w:tc>
        <w:tc>
          <w:tcPr>
            <w:tcW w:w="146" w:type="dxa"/>
            <w:tcBorders/>
          </w:tcPr>
          <w:p>
            <w:pPr>
              <w:pStyle w:val="TableContents"/>
              <w:bidi w:val="0"/>
              <w:spacing w:before="0" w:after="283"/>
              <w:jc w:val="left"/>
              <w:rPr/>
            </w:pPr>
            <w:r>
              <w:rPr/>
              <w:t> </w:t>
            </w:r>
          </w:p>
        </w:tc>
        <w:tc>
          <w:tcPr>
            <w:tcW w:w="153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monthly rate calculated based on the BSI 58 10 TC published by the Baltic Exchange, as set forth in the charger agreement.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16, 2026</w:t>
            </w:r>
          </w:p>
        </w:tc>
      </w:tr>
      <w:tr>
        <w:trPr/>
        <w:tc>
          <w:tcPr>
            <w:tcW w:w="836" w:type="dxa"/>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Diligence</w:t>
            </w:r>
          </w:p>
        </w:tc>
        <w:tc>
          <w:tcPr>
            <w:tcW w:w="146"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Bright</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shd w:fill="CCEEFF" w:val="clear"/>
          </w:tcPr>
          <w:p>
            <w:pPr>
              <w:pStyle w:val="TableContents"/>
              <w:bidi w:val="0"/>
              <w:spacing w:before="0" w:after="283"/>
              <w:jc w:val="left"/>
              <w:rPr/>
            </w:pPr>
            <w:r>
              <w:rPr/>
              <w:t> </w:t>
            </w:r>
          </w:p>
        </w:tc>
        <w:tc>
          <w:tcPr>
            <w:tcW w:w="1111" w:type="dxa"/>
            <w:tcBorders/>
            <w:shd w:fill="CCEEFF" w:val="clear"/>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48,500</w:t>
            </w:r>
          </w:p>
        </w:tc>
        <w:tc>
          <w:tcPr>
            <w:tcW w:w="146" w:type="dxa"/>
            <w:tcBorders/>
            <w:shd w:fill="CCEEFF" w:val="clear"/>
          </w:tcPr>
          <w:p>
            <w:pPr>
              <w:pStyle w:val="TableContents"/>
              <w:bidi w:val="0"/>
              <w:spacing w:before="0" w:after="283"/>
              <w:jc w:val="left"/>
              <w:rPr/>
            </w:pPr>
            <w:r>
              <w:rPr/>
              <w:t> </w:t>
            </w:r>
          </w:p>
        </w:tc>
        <w:tc>
          <w:tcPr>
            <w:tcW w:w="871"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Cargo Ship</w:t>
            </w:r>
          </w:p>
        </w:tc>
        <w:tc>
          <w:tcPr>
            <w:tcW w:w="146" w:type="dxa"/>
            <w:tcBorders/>
            <w:shd w:fill="CCEEFF" w:val="clear"/>
          </w:tcPr>
          <w:p>
            <w:pPr>
              <w:pStyle w:val="TableContents"/>
              <w:bidi w:val="0"/>
              <w:spacing w:before="0" w:after="283"/>
              <w:jc w:val="left"/>
              <w:rPr/>
            </w:pPr>
            <w:r>
              <w:rPr/>
              <w:t> </w:t>
            </w:r>
          </w:p>
        </w:tc>
        <w:tc>
          <w:tcPr>
            <w:tcW w:w="1051"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Leased-in on a bareboat basis(1)</w:t>
            </w:r>
          </w:p>
        </w:tc>
        <w:tc>
          <w:tcPr>
            <w:tcW w:w="146" w:type="dxa"/>
            <w:tcBorders/>
            <w:shd w:fill="CCEEFF" w:val="clear"/>
          </w:tcPr>
          <w:p>
            <w:pPr>
              <w:pStyle w:val="TableContents"/>
              <w:bidi w:val="0"/>
              <w:spacing w:before="0" w:after="283"/>
              <w:jc w:val="left"/>
              <w:rPr/>
            </w:pPr>
            <w:r>
              <w:rPr/>
              <w:t> </w:t>
            </w:r>
          </w:p>
        </w:tc>
        <w:tc>
          <w:tcPr>
            <w:tcW w:w="1531"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monthly rate equal to the sum of US$147,583.33, a floating rate of interest, and an administrative fee, each as set forth in the charter agreement.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17, 2028</w:t>
            </w:r>
          </w:p>
        </w:tc>
      </w:tr>
      <w:tr>
        <w:trPr/>
        <w:tc>
          <w:tcPr>
            <w:tcW w:w="83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Elegance</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Legend</w:t>
            </w:r>
          </w:p>
        </w:tc>
        <w:tc>
          <w:tcPr>
            <w:tcW w:w="146" w:type="dxa"/>
            <w:tcBorders/>
          </w:tcPr>
          <w:p>
            <w:pPr>
              <w:pStyle w:val="TableContents"/>
              <w:bidi w:val="0"/>
              <w:spacing w:before="0" w:after="283"/>
              <w:jc w:val="left"/>
              <w:rPr/>
            </w:pPr>
            <w:r>
              <w:rPr/>
              <w:t> </w:t>
            </w:r>
          </w:p>
        </w:tc>
        <w:tc>
          <w:tcPr>
            <w:tcW w:w="64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48,500</w:t>
            </w:r>
          </w:p>
        </w:tc>
        <w:tc>
          <w:tcPr>
            <w:tcW w:w="146" w:type="dxa"/>
            <w:tcBorders/>
          </w:tcPr>
          <w:p>
            <w:pPr>
              <w:pStyle w:val="TableContents"/>
              <w:bidi w:val="0"/>
              <w:spacing w:before="0" w:after="283"/>
              <w:jc w:val="left"/>
              <w:rPr/>
            </w:pPr>
            <w:r>
              <w:rPr/>
              <w:t> </w:t>
            </w:r>
          </w:p>
        </w:tc>
        <w:tc>
          <w:tcPr>
            <w:tcW w:w="8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Cargo Ship</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Leased-in on a bareboat basis(2)</w:t>
            </w:r>
          </w:p>
        </w:tc>
        <w:tc>
          <w:tcPr>
            <w:tcW w:w="146" w:type="dxa"/>
            <w:tcBorders/>
          </w:tcPr>
          <w:p>
            <w:pPr>
              <w:pStyle w:val="TableContents"/>
              <w:bidi w:val="0"/>
              <w:spacing w:before="0" w:after="283"/>
              <w:jc w:val="left"/>
              <w:rPr/>
            </w:pPr>
            <w:r>
              <w:rPr/>
              <w:t> </w:t>
            </w:r>
          </w:p>
        </w:tc>
        <w:tc>
          <w:tcPr>
            <w:tcW w:w="153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monthly rate equal to the sum of US$147,583.33, a floating rate of interest, and an administrative fee, each as set forth in the charter agreement.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13, 2029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Upon expiration of the lease, Max Bright is obligated to purchase the vessel at a price equal to 10% of the higher of (a) the vessel’s book value, and (b) the average of the vessel’s book value and market value, as provided in the charter agreement. During the term of the lease, Max Bright also has the option to purchase the vessel at the price provided in the charter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Upon expiration of the lease, Top Legend is obligated to purchase the vessel at a price equal to 10% of the higher of (a) the vessel’s book value, and (b) the average of the vessel’s book value and market value, as provided in the charter agreement. During the term of the lease, Top Legend also has the option to purchase the vessel at the price provided in the charter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Upon expiration of the lease, Top Creation does not intend to renew the relevant vessel charter.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Suppliers and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long-term good-standing relationships with various ship owners, including a related party and independent third parties. Our Shipping Subsidiaries typically enter into contracts with a term at least five years with the ship owners to reduce the risk of charter rate fluctuations. Under certain circumstances, our Shipping Subsidiaries charter vessels on the spot market. Currently, our Shipping Subsidiaries materially depend on a related party, and other affiliated entities to supply vessels and management services. The costs of leasing vessels and hiring crews may be subject to the volatility of the general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 (“TSGL”) and Max Bright entered into a Standard Bareboat Charter on September 7, 2018, under which TSGL delivered the vessel Top Diligence to Max Bright, and Max Bright became in full possession of the vessel and became responsible for its maintenance and operation throughout the charter period of ten (10) years. Max Bright is obligated to pay TSGL a charter hire consisting of (i) the principal amount of US$147,583.33 with a floating rate of interest, as specified in each hire installment invoice, and (ii) a monthly administrative fee equal to one-twelfth (1/12) of two percent (2%) of the outstanding principal loan balance under a certain facility agreement of which the original principal balance is US$35,420,000, for which the acquisition loan of Top Diligence accounted US$17,710,000 (none of Intercont or its subsidiaries is a party to such facility agreement). Upon the expiration of the charter, Max Bright is obligated to purchase Top Diligence at a price equal to the 10% of the higher of (i) Top Diligence’s book value, and (ii) the average of Top Diligence’s book value and market value.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TSGL and Top Legend entered into a Standard Bareboat Charter on September 7, 2018, under which TSGL delivered the vessel Top Elegance to Top Legend, and Top Legend became in full possession of the vessel and is responsible for its maintenance and operation throughout the charter period of ten (10) years. Top Legend shall pay TSGL a charter hire consisting of (i) the principal amount of US$147,583.33 with a floating rate of interest, as specified in each hire installment invoice, and (ii) a monthly administrative fee equal to one-twelfth (1/12) of two percent (2%) of the outstanding principal loan balance under the certain facility agreement of which the original principal balance is US$35,420,000, for which the acquisition loan of Top Elegance accounted US$17,710,000 (none of Intercont or its subsidiaries is a party to such facility agreement). Upon the expiration of the charter, Top Legend is obligated to purchase Top Elegance at a price equal to the 10% of the higher of (i) Top Elegance’s book value, and (ii) the average of Top Elegance’s book value and market value.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Trade Representative (“USTR”)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 There are several exceptions to this fee, including for dry bulk vessels with capacity less than 80,000 dwt, vessels arriving to the US empty or in ballast, and vessels entering a port in the continental United States from a voyage of less than 2,000 nautical miles from a foreign port or point.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impact port-related costs. For example, China imposed retaliatory port fees to restrict vessels of U.S. origin calling at Chinese ports on October 14, 2025, which could disrupt global shipping patterns and potentially increase congestion and costs at ports worldwide.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implementation of this action remains uncertain.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also maintain good relationships with customers to keep a steady flow of business needs for global maritime shipping services. 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revenues. In the year ended June 30, 2024, due to market price fluctuation, Customer B terminated a revenue contract with us in advance. But we were able to lease the same vessel to Customer A (Topsheen Shipping Singapore Pte. Ltd., a related party) at a price approximately 25% below the original price to Customer B. As a result, there was no significant impact on our revenue for the year ended June 30, 2024. For the year ended June 30, 2023, Customer A (Topsheen Shipping Singapore Pte. Ltd., a related party), Customer B and Customer C accounted for approximately 43%, 19% and 12%, respectively, of the Group’s total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enter into standard charter agreements and vessel management agreements with their customers. The charter agreements are in standard forms, setting forth the parties, the charter period, the charter hire, as well as the specifications of the vessel chartered, including its type, total dead weight, classification society, etc. The vessel management agreements are also in standard forms, setting forth the parties, the vessel to be managed, the term of the management, and the daily management fee.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summary of the material agreements entered into by our Shipping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25, 2023, Max Bright entered into a charter leasing Top Diligence to Topsheen Shipping Singapore Pte. Ltd., a related party, at a daily price of US$12,500. The term of the charter commenced on January 1, 2024, and ends on December 31,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25, 2023, Top Legend entered into a lease chartering Top Elegance to Topsheen Shipping Singapore Pte. Ltd., a related party, at a daily price of US$12,500. The term of the charter commenced on January 1, 2024, and ends on December 31,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and Top Wisdom entered into a Vessel Management Agreement on August 12, 2022, under which Top Moral entrusted Top Wisdom to manage the vessel Top Brilliance for a period of five (5) years commencing on the execution date. Top Wisdom is responsible for the maritime management, crew management, technical maintenance, insurance arrangements, and other matters relating to Top Brilliance for a monthly management fee of US$6,000. The agreement may be automatically extended for an additional year upon expiration unless either party provides notice of objection. Top Wisdom is also entitled to an incentive payment of US$5,000 for each day that Top Brilliance remains seaworthy beyond three-hundred and sixty (360) days in a given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Top Creation and Top Wisdom entered into a Vessel Entrusted Management Agreement on January 1, 2022, under which Top Creation entrusted Top Wisdom to manage the vessel Top Advancer for a period of four (4) years commencing on the execution date. Top Wisdom is responsible for the maritime management, crew management, technical maintenance, insurance arrangements, and other matters relating to Top Advancer for a monthly management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of US$6,000. The agreement may be automatically extended for an additional year upon expiration unless either party provides notice of objection. Top Wisdom is also entitled to an incentive payment of US$5,000 for each day that Top Advancer remains seaworthy beyond three-hundred and sixty 360 days in a given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 and Top Wisdom entered into a Vessel Seafarer Dispatch Agreement on January 1, 2022, under which Top Creation engaged twenty-one (21) crew members sourced by Top Wisdom for service aboard the vessel Top Advancer for a period of four (4) years commencing on the execution date. Top Creation will reimburse Top Wisdom for its actually incurred expenses, including but not limited to crew wages, food expenses, and domestic travel expenses, and Top Wisdom will receive an annual management fee of US$50,000. The lease for Vessel Top Advancer expired in January 2026 and Top Creation does not intend to renew such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and Top Wisdom entered into a Seafarer Dispatch Agreement on August 12, 2022, under which Top Moral engaged twenty-two (22) crew members sourced by Top Wisdom for service aboard the vessel Top Brilliance for a period of five (5) years commencing on the execution date. Top Moral will reimburse Top Wisdom for its actually incurred expenses, including but not limited to crew wages, food expenses, and domestic travel expenses, and Top Wisdom will receive an annual management fee of US$44,000.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Seaborne Pulping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plans to operate its seaborne pulping business through Openwindow, backed by the Shipping Subsidiaries’ connection in the industry. The Group has not launched the seaborne pulping business as of the date of this prospectus. The Group plans to launch its seaborne pulping business in an orderly manner at an appropriate time once external economic and political conditions stabilize.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Traditional Pulping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Pulp mills process timber into pulp, the fundamental material for paper and paper products. After unloaded to a pulp mill, timber gets chipped into small pieces and screened to remove oversized and undersized chips. Chips are pre-treated with heat or chemicals to soften the lignin before further processing. Then, to turn wood into pulp, either mechanical or chemical method is used. In the mechanical approach, the chipping machine consumes diesel to grind and shred chips into lignin. Under the chemical approach, chemicals such as sodium hydroxide and sulfide liquor are used for the removal of lignin and separation of cellulose. The treated pulp then gets washed and bleached. For ease of later transportation and handling, the pulp will be dried and baled.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Though mechanical and chemical processes produce products fit for different uses because of the different lignin concentration resulting from the processes. The mechanical method has higher yield of pulp, but the pulp contains more lignin, making its end product suitable for paperboards and newsprint, but not high-end paper products such as tissues or fine printing paper. In contrast, the chemically produced pulp contains less lignin, and is therefore suitable for fine paper products.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traditional pulp production requires landmass to build up factories, consumes thermal and electric energy, and the use of chemicals results in heavy pollution. As improvement, some bio-enzymes are used as alternatives to chemicals. Unlike chemicals, the bio-enzymes are environmentally friendly. Thereby, the production of certain types of paper products that can be processed by bio-enzymes have much less environmental impact.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Openwindow’s Seaborne Pulping Technology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Openwindow’s seaborne pulping business will utilize technologies to be developed by the Group and third parties. Openwindow’s seaborne pulping design is based on the mechanical method. Modularizing the onshore model, Openwindow expects to easily transplant the equipment onto factory ships. By utilizing the shipping time to make pulp with environmentally friendly designs, we expect the supply chain can be shortened and greenized.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plans to develop pulp production technology ships based on two technical models: the dry pulping model and wet pulping model. The first ship is planned to adopt the dry pulping model, while subsequent ship modifications will determine whether to use dry or wet pulping based on the vessels’ characteristics and customer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Dry Pulping Model: In the dry pulping process, old corrugated containers will be physically broken down through shredding and air separation. The resulting pulp is pressed into dry pulp blocks with approximately 15% of moisture content. This production method is expected to achieve near-zero emissions of waste water, waste gas, and solid waste, simplifying the production process, and significantly reducing energy consumption.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Wet Pulping Model: In the wet pulping process, old corrugated containers are soaked, dispersed, and physically broken down. We plan to use a waste gas recycle system to utilize the exhaust heat from the engines to heat the process water to 50-60°C, which is expected to increase the soaking and dissolving efficiency of the old corrugated containers by 8%-10% within the aforementioned temperature range. We believe using exhaust heat reduces the need for electricity or fuel, thereby enhancing production efficiency and lowering energy consumption. We further believe that for improved environmental results, the exhaust gases, after heat exchange, will be directed into a filtration system to remove harmful substances, further reducing the environmental impact. Additionally, we believe that specific biological enzymes can be added to further improve production efficiency.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specifically, the eventual waste gas recycle system design is expected to consist of a waste heat recovery system and a waste heat power generation system. We expect the waste heat recovery system will be designed to convert the waste heat from the vessel engines’ exhaust gas and jacket water into thermal energy of hot water. The waste heat recovery system is expected to reduce the emission concentration of pollutants in the exhaust gas and help reduce pollutant emissions. We expect the waste heat power generation system to be designed to transform the thermal energy into mechanical and electric energy, which we believe will reduce energy consumption.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we are still in the research and development stage of the waste gas recycle system related technology, and we have not tested out such technology in practice. There is a risk that the technology may undergo further modifications, potentially failing to function as intended in practice, to work at the anticipated efficiency, or to function at all. For further information, see “</w:t>
      </w:r>
      <w:r>
        <w:rPr>
          <w:rFonts w:ascii="Times New Roman PS Std;serif" w:hAnsi="Times New Roman PS Std;serif"/>
          <w:b w:val="false"/>
          <w:i/>
          <w:caps w:val="false"/>
          <w:smallCaps w:val="false"/>
          <w:sz w:val="20"/>
        </w:rPr>
        <w:t>Risk Factors — Risks related to our business and industry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Our seaborne pulping business is still in early stages, and may not operate profitably, if at all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will continue to explore other renewable energy solution in the seaborne chipping process. Additionally, the Group also expects to make modifications to the diesel engines for higher efficiency. Two frequency-converted low-speed diesel generator sets are designed to be installed on each pulping factory ship to power the pulping process equipment.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waste heat power generator and diesel generator will transmit power to the distribution panel together. The joint power supply is expected to effectively perform power transmission and distribution work. The power management system controls the power load of each pulping equipment, efficiently and reasonably distributes power, and reduces electricity consumption. Furthermore, the onboard equipment adjustment is expected to include conversions of bulk storage rooms into pulp production rooms, installation of the waste heat recycle system, the power generators, the desalination equipment, and other modification of wire lines for the system to operate. We expect the vessel modification will cause material changes to the dry bulk carrier vessel. As a result, we believe the modified vessel will need a new certification from a classification society before commencing its operation.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Openwindow’s Seaborne Pulping Process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collect old corrugated containers from the designated ports. Then cargo handlers will be engaged to stack the old corrugated containers into the cabin, to ready such containers for the pulping streamline. The pulping production line is expected to be an automatic distributed control system (“DCS”), consisting of a large number of cameras monitoring the status of each equipment, enabling personnel to control and operate in a control room.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port, during a regular process, we expect the crew will take the old corrugated containers off the storage trusses, cutting the wires bundling the containers during transportation. Then the old corrugated containers are expected to be transported from the storage cabins to the processing cabin on a gantry mechanism, and expected to be put into the mechanical broke pulpers, transforming them into liquid pulp. We believe the liquid pulp will be further processed to remove impurities, in which process enzyme will be added to further dissolve unwanted fibers, saving energy and enhancing the quality of the pulp. Finally, we expect that the pulp will be condensed and dehydrated into pulp bales containing approximately 50% of water, ready to offload to downstream paper mills for paper making. The pulping process is expected to be automated by a DCS, and we expect trained personnel to be monitoring this pulping process in a control room to check the status and make necessary adjustments.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the initial stages, Openwindow plans to produce pulp exclusively out of wastepaper, which we believe are easily available and of high quality. Incurring no need to cut down new timber, Openwindow expects to generate economic gains at minimum environmental costs.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Routes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expects to launch its first line between Southeast Asia and China. Openwindow plans to procure old corrugated containers through both direct purchases and trade agents, transporting them to a designated port in Southeast Asia. There, we expect a factory ship will load the old corrugated containers and begin the pulping process as the voyage to China starts. We expect the pulping process will be completed during a journey of about fifteen (15) to seventeen (17) days. Upon arrival in the designated Chinese port, we expect the processed pulp will be offloaded. We then expect the factory ship will then return to the Southeast Asia port to reload materials and begin the cycle again. We expect that each round trip will take approximately thirty (30) to thirty-five (35) days.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Openwindow also plans to launch lines between U.S. and China. Openwindow’s suppliers are expected to collect old corrugated containers across the U.S. and ship them to a designated port. Then we expect that the factory ship will take a route as instructed according to the business needs, while processing the pulp during the voyage. Ultimately, the factory ship is expected to arrive at a Chinese port, offloading the pulp bales to the customers. We expect that a round-trip of the planned U.S.-China route will take approximately sixty (60) to seventy (70) days.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Leased-in and Self-owned Factory 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start its seaborne pulping business with leased-in factory ships models first. Initially, Openwindow plans to lease factory ships from shipowners. Such shipowners are expected to modify the factory ships under Openwindow’s technical specifications. Upon satisfactory inspection, it is expected that Openwindow will accept such factory ships and hire them to launch the seaborne pulping business. Such a leased-in business model is expected to enable Openwindow to quickly scale up the seaborne pulping business and increase its revenue. In the long run, Openwindow also has plan to purchase factory ships or lease in bare boats to install modifications by itself. Eventually, the ratio of self-owned factory ships to leased-in factory ships is expected to reach 1:4.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such modified factory ship will need a new certification from a classification society before commencing its operation.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Suppliers and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purchase old corrugated containers, from suppliers in Southeast Asia and the U.S. Once the seaborne pulping business is launched in the future, Openwindow expects to primarily purchase approximately 100,000 tons of old corrugated containers. As of the date of this prospectus, Openwindow has contacted several old corrugated container suppliers for the supply and purchase relationship, and is expected to rely to a certain extent on certain ship ownerships for the provision of seaborne pulping factory 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of old corrugated containers can change materially due to shifts in market supply and demand. According to Fastmarkets, a website providing data for commodity markets, the U.S. market’s old corrugated container price average has decreased by $55/ton, or 50.5%, from a $109/ton US average in August 2022. Meanwhile, the vessel rental costs can be subject to volatilities in the shipping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Trade Representative (“USTR”) has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vessel for each port entrance beginning October 14, 2025 and increasing over time, plateauing at $33 per net ton in 2028. There are several exceptions to this fee, including for dry bulk vessels with capacity less than 80,000 dwt, vessels arriving to the US empty or in ballast, and vessels entering a port in the continental United States from a voyage of less than 2,000 nautical miles from a foreign port or point.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not launched the seaborne pulping business as of the date of this prospectus. The Group plans to launch its seaborne pulping business in an orderly manner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10, 2023, Intercont entered into a research and development agreement regarding the pulping vessel technologies with Xinsihui (the “Xinsihui Phase 1 Agreement”). Under the agreement, Xinsihui would develop the big data platform for the seaborne pulping vessels for Intercont at a price of US$300,000. On March 5, 2024, Intercont and Xinsihui entered into another research and development agreement (“Xinsihui Phase 2 Agreement”), under which Xinsihui would develop technologies using waste heat to promote pulping, raw material processing at the port, and installment of boarding raw materials at an aggregate price of US$301,000. On November 13, 2024, Intercont and Xinsihui entered into a licensing agreement (the “Xinsihui Licensing Agreement”), under which Xinsihui licenses all the patents related to the Xinsihui Phase 1 Agreement and Xinsihui Phase 2 Agreement to Intercont free of charge until the later of the third month following the completion of Intercont’s IPO and the first anniversary of the execution date. On November 13, 2025, we entered into a Patent Assignment Agreement with Xinsihui, pursuant to which Xinsihui agreed to assign, and we agreed to accept the assignment of, all legally owned patents and patent applications, including all associated patent rights and derivative rights.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2024, Intercont and Top Wisdom entered into a strategic cooperation memorandum with Rockwell Automation (China) Company Limited (“Rockwell”), under which Rockwell will provide services in the Group’s seaborne pulping business and ESG compliance and reporting.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Pulp made from old corrugated containers using bio-enzyme is more suitable for certain types of paper products — mostly, containers or packages. Therefore, Openwindow’s targeted customers are those producing paper containers and packages, including those in mainland China and Singapore.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Advantages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competitive strengths have contributed and will continue to contribute to our success.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Global maritime shipping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Established Track Record in Global Maritime Shipping.    </w:t>
      </w:r>
      <w:r>
        <w:rPr>
          <w:rFonts w:ascii="Times New Roman PS Std;serif" w:hAnsi="Times New Roman PS Std;serif"/>
          <w:b w:val="false"/>
          <w:i w:val="false"/>
          <w:caps w:val="false"/>
          <w:smallCaps w:val="false"/>
          <w:sz w:val="20"/>
        </w:rPr>
        <w:t>Our Shipping Subsidiaries and management team have been in the global maritime shipping business for over a decade. Over the years, our Shipping Subsidiaries have maintained stable business relationships with critical suppliers and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Strong Balance Sheet Positioned for Additional Growth.    </w:t>
      </w:r>
      <w:r>
        <w:rPr>
          <w:rFonts w:ascii="Times New Roman PS Std;serif" w:hAnsi="Times New Roman PS Std;serif"/>
          <w:b w:val="false"/>
          <w:i w:val="false"/>
          <w:caps w:val="false"/>
          <w:smallCaps w:val="false"/>
          <w:sz w:val="20"/>
        </w:rPr>
        <w:t>The Group has maintained a stable 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Experienced management team.    </w:t>
      </w:r>
      <w:r>
        <w:rPr>
          <w:rFonts w:ascii="Times New Roman PS Std;serif" w:hAnsi="Times New Roman PS Std;serif"/>
          <w:b w:val="false"/>
          <w:i w:val="false"/>
          <w:caps w:val="false"/>
          <w:smallCaps w:val="false"/>
          <w:sz w:val="20"/>
        </w:rPr>
        <w:t>The Group has an experienced team. Each management team 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Large cargo contracts base and strong relationships with key counterparties.    </w:t>
      </w:r>
      <w:r>
        <w:rPr>
          <w:rFonts w:ascii="Times New Roman PS Std;serif" w:hAnsi="Times New Roman PS Std;serif"/>
          <w:b w:val="false"/>
          <w:i w:val="false"/>
          <w:caps w:val="false"/>
          <w:smallCaps w:val="false"/>
          <w:sz w:val="20"/>
        </w:rPr>
        <w:t>Intercont has built a 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Seaborne Pulping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Light-asset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business model.    </w:t>
      </w:r>
      <w:r>
        <w:rPr>
          <w:rFonts w:ascii="Times New Roman PS Std;serif" w:hAnsi="Times New Roman PS Std;serif"/>
          <w:b w:val="false"/>
          <w:i w:val="false"/>
          <w:caps w:val="false"/>
          <w:smallCaps w:val="false"/>
          <w:sz w:val="20"/>
        </w:rPr>
        <w:t>Unlike traditional shipping companies, Openwindow plans to operate 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Product quality.    </w:t>
      </w:r>
      <w:r>
        <w:rPr>
          <w:rFonts w:ascii="Times New Roman PS Std;serif" w:hAnsi="Times New Roman PS Std;serif"/>
          <w:b w:val="false"/>
          <w:i w:val="false"/>
          <w:caps w:val="false"/>
          <w:smallCaps w:val="false"/>
          <w:sz w:val="20"/>
        </w:rPr>
        <w:t>Utilizing advanced equipment and procedures, Openwindow expects to be able to 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Targeted market.    </w:t>
      </w:r>
      <w:r>
        <w:rPr>
          <w:rFonts w:ascii="Times New Roman PS Std;serif" w:hAnsi="Times New Roman PS Std;serif"/>
          <w:b w:val="false"/>
          <w:i w:val="false"/>
          <w:caps w:val="false"/>
          <w:smallCaps w:val="false"/>
          <w:sz w:val="20"/>
        </w:rPr>
        <w:t>Openwindow’s pulp is expected to be suitable for making paper containers and packages, widely used in the logistics and delivery industry. With a large volume of online shopping transactions, we believe Asia’s market has a corresponding appetite for packaging materials. Openwindow expects to benefit from this specific segment of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Growth Strategies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pursue the following strategies to drive future growth.</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Global maritime shipping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Organically grow our fleet</w:t>
      </w:r>
      <w:r>
        <w:rPr>
          <w:rFonts w:ascii="Times New Roman PS Std;serif" w:hAnsi="Times New Roman PS Std;serif"/>
          <w:b w:val="false"/>
          <w:i w:val="false"/>
          <w:caps w:val="false"/>
          <w:smallCaps w:val="false"/>
          <w:sz w:val="20"/>
        </w:rPr>
        <w:t>.    Our Shipping Subsidiaries plan to organically grow our fleet to increase our revenue and meet increasing demands. Our Shipping Subsidiaries expect to acquire two (2) additional vessels in the upcoming five years but our Shipping Subsidiaries have not entered into any contracts of acquisition of vessels as of the date of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Improve operation efficiency.    </w:t>
      </w:r>
      <w:r>
        <w:rPr>
          <w:rFonts w:ascii="Times New Roman PS Std;serif" w:hAnsi="Times New Roman PS Std;serif"/>
          <w:b w:val="false"/>
          <w:i w:val="false"/>
          <w:caps w:val="false"/>
          <w:smallCaps w:val="false"/>
          <w:sz w:val="20"/>
        </w:rPr>
        <w:t>We plan to improve the efficiency of our operations, by introducing more advanced technology to empower the chartering service. By better connecting the needs of shipowners and charters, as well as more efficiently arranging the vessel space, we expect to further increase the profit margin of the chartering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Consolidate the financial conditions.    </w:t>
      </w:r>
      <w:r>
        <w:rPr>
          <w:rFonts w:ascii="Times New Roman PS Std;serif" w:hAnsi="Times New Roman PS Std;serif"/>
          <w:b w:val="false"/>
          <w:i w:val="false"/>
          <w:caps w:val="false"/>
          <w:smallCaps w:val="false"/>
          <w:sz w:val="20"/>
        </w:rPr>
        <w:t>Some of our Shipping Subsidiaries’ vessels are financed, subjecting us to potential risks from interest rate changes and market volatilities. We plan to adjust our capital structure based on the outcome of our operations and market conditions to reduce risks.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Seaborne Pulping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Increase the number of pulping factory ships</w:t>
      </w:r>
      <w:r>
        <w:rPr>
          <w:rFonts w:ascii="Times New Roman PS Std;serif" w:hAnsi="Times New Roman PS Std;serif"/>
          <w:b w:val="false"/>
          <w:i w:val="false"/>
          <w:caps w:val="false"/>
          <w:smallCaps w:val="false"/>
          <w:sz w:val="20"/>
        </w:rPr>
        <w:t>.    Openwindow is negotiating with a shipowner to set up a factory ship with specific specifications for its seaborne pulping operations.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Expand product lines.    </w:t>
      </w:r>
      <w:r>
        <w:rPr>
          <w:rFonts w:ascii="Times New Roman PS Std;serif" w:hAnsi="Times New Roman PS Std;serif"/>
          <w:b w:val="false"/>
          <w:i w:val="false"/>
          <w:caps w:val="false"/>
          <w:smallCaps w:val="false"/>
          <w:sz w:val="20"/>
        </w:rPr>
        <w:t>The current designs of Openwindow’s equipment and technology are expected to work best for making pulp out of old corrugated containers. Openwindow plans to improve its technology to manufacture pulp out of other materials and for other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Acquire more customers.    </w:t>
      </w:r>
      <w:r>
        <w:rPr>
          <w:rFonts w:ascii="Times New Roman PS Std;serif" w:hAnsi="Times New Roman PS Std;serif"/>
          <w:b w:val="false"/>
          <w:i w:val="false"/>
          <w:caps w:val="false"/>
          <w:smallCaps w:val="false"/>
          <w:sz w:val="20"/>
        </w:rPr>
        <w:t>Openwindow’s seaborne pulping business is at an early stage. To further grow its business, Openwindow expects to expand its customer base for higher bargaining power and flexibility.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international maritime business, we face intense competition in vessel chartering and vessel management sections. Competitors in the vessel chartering business include CSSC (Hong Kong), Shipping Company Limited, COSCO SHIPPING Corporation Limited, AVIC International Maritime Holdings Ltd, etc.; and competitors in the vessel management service section include V.Group Holdings Limited, among others.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seaborne pulping business operates an innovated business model, which produces pulp from waste old corrugated cardboards, focusing on the packaging materials industry. We expect to source raw materials from North America and Southeast Asia and explore markets in Southeast Asia and East Asia. Our business model is different from those of the incumbent shipping companies. Therefore, we do not expect to see direct competitors for our seaborne pulping business in the near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the Group had 24 employees, some of the employees are hired to assist loading and unloading work in Chinese ports. The following table sets forth the breakdown of our employees including appointed directors and officers as of the date of this prospectus by function:</w:t>
      </w:r>
    </w:p>
    <w:tbl>
      <w:tblPr>
        <w:tblW w:w="7738" w:type="dxa"/>
        <w:jc w:val="left"/>
        <w:tblInd w:w="0" w:type="dxa"/>
        <w:tblLayout w:type="fixed"/>
        <w:tblCellMar>
          <w:top w:w="0" w:type="dxa"/>
          <w:left w:w="0" w:type="dxa"/>
          <w:bottom w:w="0" w:type="dxa"/>
          <w:right w:w="0" w:type="dxa"/>
        </w:tblCellMar>
      </w:tblPr>
      <w:tblGrid>
        <w:gridCol w:w="6556"/>
        <w:gridCol w:w="146"/>
        <w:gridCol w:w="1036"/>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Functions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6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Operating Team</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Research and Development and Administration Team</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6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21 employees were based in mainland China and 3 employees were based in Singapore.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 into standard labor and confidentiality agreements with our employees. We believe that we maintain a good working relationship with our employees, and we have not experienced any major labor disputes.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our fleet, the Group does not own any other major assets. Top Wisdom leases 1,900 sq. ft. office space in Nanjing, China, at an annual rate of CNY 198,000 (approximately US$27,500) from a shareholder’s family member.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lease, Intercont will lease the office space at 39 Ocean Drive Singapore for a monthly rate of S$25,000 (approximately US$19,700).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Debt and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entered into a vessel financing loan agreement with Chailease International Financial Services (Singapore) Pte. Ltd. (“CIFSS”) in August 2022 (the “CIFSS Loan”). Top Moral used the proceeds of the CIFSS Loan to purchase Top Brilliance (originally named Mandarin Fortune), a Supramax Bulk Carrier built in 2018. The principal of the CIFSS Loan was US$9,500,000, with a five-year maturity date and a current annual interest rate of Secured Overnight Financing Rate (SOFR) plus 4.16%, after an amendment entered into in March 2023. As of June 30, 2025, the total outstanding balance of the CIFSS Loan was US$2,908,945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the CIFSS Loan, neither the Group nor any of its subsidiaries has entered into any material debt or financing arrangements.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Classification and Inspection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the vessels leased or owned by us are certified as being “in class” by a classification society member of the International Association of Classification Societies such as Lloyds Register of Shipping and Bureau Veritas. All new and pre-owned vessels that we lease or purchase are required certified prior to their delivery under our standard contracts and memoranda of agreement. If the vessel is not certified on the date of closing, we have no obligation to accept delivery of the vessel. Most insurance underwriters make it a condition for insurance coverage that a vessel be certified as “in class” by a member classification society of the International Association of Classification Societies. Every vessel’s hull and machinery is “classed” by a classification society authorized by its country of registry. The classification society certifies that the vessel has been built and maintained in accordance with the rules of such classification society and complies with applicable rules and regulations of the country of registry of the vessel and the international conventions of which that country is a member. Each vessel is inspected by a surveyor of the classification society every year — an annual survey, every two to three years — an intermediate survey, and every four to five years — a special survey. Vessels may also be required, as part of the intermediate survey process, to be dry-docked every 30 to 36 months for inspection of the underwater parts of the vessel and for necessary repairs related to such inspection; alternatively, such requirements may be dealt concurrently with the special survey.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classification inspections, many of our customers, including the major charterers regularly inspect our vessels as a pre-condition to chartering voyages on these vessels. We believe that our well-maintained, high quality fleet should provide us with a competitive advantage in the current environment of increasing regulations, and customer focus on quality of service. All areas subject to surveys as defined by the classification society are required to be surveyed at least once per class period, unless shorter intervals between surveys are prescribed elsewhere. The period between two subsequent surveys of each area must not exceed five years. Vessels are dry docked for the special survey for inspection of the underwater parts and for repairs related to inspections. If any defects are found, the classification surveyor will issue a “recommendation” which must be rectified by the ship owner within the prescribed time limits.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Intercont considers its patents, copyrights, trademarks, trade names, internet domain names, patents and other intellectual property assets invaluable to its ability to develop and protect new technology, grow its business and enhance its brand recognition. As of the date of this prospectus, the Group does not own any intellectual property except for the domain name </w:t>
      </w:r>
      <w:r>
        <w:rPr>
          <w:rFonts w:ascii="Times New Roman PS Std;serif" w:hAnsi="Times New Roman PS Std;serif"/>
          <w:b w:val="false"/>
          <w:i/>
          <w:caps w:val="false"/>
          <w:smallCaps w:val="false"/>
          <w:sz w:val="20"/>
        </w:rPr>
        <w:t>http://www.intercontcayman.com</w:t>
      </w:r>
      <w:r>
        <w:rPr>
          <w:rFonts w:ascii="Times New Roman PS Std;serif" w:hAnsi="Times New Roman PS Std;serif"/>
          <w:b w:val="false"/>
          <w:i w:val="false"/>
          <w:caps w:val="false"/>
          <w:smallCaps w:val="false"/>
          <w:sz w:val="20"/>
        </w:rPr>
        <w:t>. The Group is applying for patents related to the seaborne pulping technologies, and will cooperate with third party researchers to explore favorable licensing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maritime shipping business is affected by seasonality. Usually, the global shipping demand increases before certain major festivals, such as Christmas and the Lunar New Year. But since the Shipping Subsidiaries have long term agreements with suppliers and customers, the Group does not expect to see material impact caused by seasonality factors. Meanwhile, the Group does not expect to see material seasonality in the seaborne pulping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of Loss and Liability Insurance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 of any cargo vessel includes amongst others the handling and management of situations such as mechanical failure and/or physical damage to the ship, collision, third party property loss, cargo loss or damage, business interruption due to political circumstances in foreign countries, hostilities and labor strikes. In addition, there is always an inherent possibility of marine disaster, including environmental mishaps, and the liabilities rising from owning and operating vessels in international trade. While we believe that our present insurance coverage is adequate, not all risks can be insured, and there can be no guarantee that any specific claim will be paid, or that we will always be able to obtain adequate insurance coverage at reasonable rates.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procure hull and machinery insurance, protection and indemnity insurance, which include environmental damage and pollution insurance coverage, war risk and other insurance coverage for our fleet with Swedish Club, the London P&amp;I Club, PICC Property and Casualty Company Limited. Accordingly, if any vessels owned or operated by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Shipping Subsidiaries incur significant costs from an accident, spill or other environmental liability or becomes subject to insurance fraud or other incident, our insurance premiums and costs could increase significantly or we may not be able to obtain insurance for our ships.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Hull and Machinery 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 place Fleet Marine Hull and Machinery and Fleet War Risk insurance policies, providing coverage for particular damage to the vessel, salvage and towage costs following a casualty as well as for vessel Actual or Constructive Total Loss. The vessels are each insured up to at least fair market value, subject to a deductible of US$30,000 per incident. We also maintain Increased Value insurance. Under the Increased Value insurance, in case of total loss of a vessel, we will be able to recover the sum insured under the Increased Value policy in addition to the sum insured under the Hull and Machinery policy. Increased Value insurance also covers excess liabilities which are not recoverable in full by the Hull and Machinery policies by reason of under insurance.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Protection and Indemnity 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Protection and indemnity insurance is a form of mutual indemnity insurance, designed to covers third party liabilities likely to arise out of our shipping activities. It is provided by non-profit-making insurance organizations commonly known as Protection and Indemnity Associations or “P&amp;I Clubs”. This insurance aims to respond to third-party liability claims and other related expenses arising amongst others from injury or death of crew, passengers, or other third parties, loss of or damage to cargoes, claims arising from collisions with other vessels, damage to third-party properties, pollution arising from oil or other substances, salvage costs to the extent that they aim to control or mitigate the environmental effect following a casualty, wreck removal and other discretionary costs. Our current protection and indemnity insurance provides cover for Oil Pollution up to US$1.0 billion per vessel per incident. The 13 P&amp;I Associations that comprise the International Group insure approximately 90% of the world’s commercial tonnage and have entered into a pooling agreement to reinsure each association’s liabilities. Claims pooling between the clubs is regulated by the Pooling Agreement which defines the risks that can be pooled and how losses are to be shared between the participating clubs. The Pool provides a mechanism for sharing all claims in excess of US$10 million up to, approximately US$3.1 billion.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structure, clubs’ contributions to claims in the lower pool layer from US$10 million to US$30 million are assessed on a tripartite formula which takes account of each club’s contributing tonnage, premium and claims record. For claims falling in the upper pool layer from US$50 million to US$100 million, 7.5% is retained by the club bringing the claim and 92.5% is shared by all on a tonnage-weighted basis. The International Group clubs arrange a common market reinsurance contract to provide reinsurance for claims which exceed the upper limit of the pool US$100 million) up to an amount of US$3.1 billion any one claim (US $1 billion for Oil Pollution claims). It is said to be the largest single marine reinsurance contract in the market. As members of Mutual P&amp;I Associations, we may become subject to unbudgeted supplementary calls payable to the P&amp;I Club depending on its fiscal year results that they are determined by 3 main parameters, i.e., their exposure from payment of claims, the income through premium and the income arising from investments. Our aim at every renewal is to conclude our P&amp;I insurance with “A rated” P&amp;I clubs as this, amongst other benefits, eliminates the risk of unbudgeted supplementary calls being imposed.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Officers 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do not maintain D&amp;O insurance. We intend to obtain D&amp;O insurance to reduce our indemnification obligations towards our directors and officers for certain preset types of claims and liabilities asserted against them in relation to their exercise of duties for our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to the management’s best knowledge, the Group is not subject to or under threat of any litigation or legal proceeding that would cause material adverse effect on the business of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2"/>
      <w:bookmarkEnd w:id="13"/>
      <w:r>
        <w:rPr>
          <w:rFonts w:ascii="Times New Roman PS Std;serif" w:hAnsi="Times New Roman PS Std;serif"/>
          <w:b/>
          <w:i w:val="false"/>
          <w:caps w:val="false"/>
          <w:smallCaps w:val="false"/>
          <w:sz w:val="20"/>
        </w:rPr>
        <w:t xml:space="preserve">REGULATIONS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sets forth a summary of the most significant laws, rules and regulations that affect our business activities.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Regulations applicable to our global maritime shipping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global maritime shipping business is subject to various laws and regulations, from international conventions to national, state and local laws and regulations in effect where our Shipping Subsidiaries may operate or are registered.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variety of governmental and private entities subject our vessels to both scheduled and unscheduled inspections. These entities include the local port authorities (United States Coast Guard, harbor master or equivalent), classification societies, flag state administration (country of registry), charterers and particularly terminal operators. Certain of these entities require us to obtain permits, licenses, certificates and financial assurances for the operation of our vessels. Failure to maintain necessary permits or approvals could require us to incur substantial costs or result in the temporary suspension of operation of one or more of our vessels. We believe that the heightened level of environmental and quality concerns among insurance underwriters, regulators and charterers is leading to greater inspection and safety requirements on all vessels and may accelerate the scrapping of older vessels throughout the industry. Increasing environmental concerns have created a demand for vessels that conform to the stricter environmental standards. We are required to maintain operating standards for all of our vessels that emphasize operational safety, quality maintenance, continuous training of our officers and crews and compliance with United States and international regulations. We believe that the operation of our vessels is in substantial compliance with applicable environmental laws and regulations. However, because such laws and regulations are frequently changed and may impose increasingly stricter requirements, any future requirements may limit our ability to do business, increase our operating costs, force the early retirement of one or more of our vessels, and/or affect their resale value, all of which could have a material adverse effect on our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Environmental Regulations — International Maritime Organization (“IMO”)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IMO, the United Nations agency for maritime safety and the prevention of pollution by ships, has negotiated international conventions relating to pollution by ships. In 1973, IMO adopted the International Convention for the Prevention of Pollution from Ships (“MARPOL”), and has been periodically updating it with relevant amendments. MARPOL addresses pollution from ships by oil, noxious liquid substances carried in bulk, harmful substances carried by sea in packaged form, sewage, garbage, and air emissions. Vessels owned and operated by our Shipping Subsidiaries are subject to standards imposed by the IMO.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1997, the IMO adopted MARPOL Annex VI to address air pollution from ships. Effective in May 2005, Annex VI set limits on sulfur oxides (“SOx”) and nitrogen oxide (“NOx”) emissions from ship exhausts and prohibited deliberate emissions of ozone depleting substances, such as chlorofluorocarbons. Annex VI also included a global cap on the sulfur content of fuel oil and allowed for special areas to be established with more stringent controls on emissions. Options for complying with the requirements of Annex VI include use of low sulfur fuels, modifications to vessel engines, or the addition of post combustion emission controls. Annex VI has been ratified by some, but not all IMO member states. Vessels that are subject to Annex VI must obtain an International Air Pollution Prevention Certificate evidencing compliance with Annex VI. In October 2008, the IMO adopted amendments to Annex VI, and the United States ratified the Annex VI amendments in October 2008.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2011 the amendments required a progressive reduction of sulfur levels in bunker fuels to be phased in by 2020 and imposed more stringent NOx emission standards on marine diesel engines, depending on their date of installation. Since January 1, 2020, the amended Annex VI required that fuel oil contain no more than 0.50% sulfur. It is up to individual parties to MARPOL to enforce fines and sanctions, and several major port state regimes have announced plans to do so. We may incur costs to comply with the amended Annex VI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have no committed capital expenditure obligations or plans for the installation of scrubbers on our vessels. To comply with emissions regulations, our vessels are not retrofitted with scrubbers need to use low sulfur fuel containing 0.5% sulfur content, which is currently more expensive than standard marine fuel containing 3.5% sulfur content. If the cost differential between low sulfur fuel and high sulfur fuel is significantly higher than anticipated, or if low sulfur fuel is not available at ports on certain trading routes, it may not be feasible or competitive to operate vessels on certain trading routes without installing scrubbers or without incurring deviation time to obtain compliant fuel. Our vessels may therefore face difficulties in competing with vessels equipped with scrubbers.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stringent emission standards apply in coastal areas designated by the IMO as SOx Emission Control Areas, or ECAs, such as the Baltic and North Seas, United States (including Hawaii) and Canadian (including the French territories of St. Pierre and Miquelon) coastal areas, and the United States Caribbean Sea (including Puerto Rico and the US Virgin Islands). Similar restrictions apply in Icelandic and inland Chinese waters. Specifically, as of January 1, 2019, China expanded the scope of its Domestic Emission Control Areas to include all coastal waters within 12 nautical miles of the mainland. Vessels operating within an ECA or an area with equivalent standards must use fuel with a sulfur content that does not exceed 0.10%.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two new NOx ECAs, the Baltic Sea and the North Sea, will be enforced for ships constructed (keel laying) on or after January 1, 2021, or existing ships which replace an engine with “non-identical” engines, or install an “additional” engine. Other ECAs may be designated, and the jurisdictions in which our vessels operate may adopt more stringent emission standards independent of IMO. We have obtained International Air Pollution Prevention Certificates for all of our vessels and believe they are compliant in all material respects with current Annex VI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countries have ratified and follow the liability plan adopted by the IMO and set out in the International Convention on Civil Liability for Oil Pollution Damage of 1969 (the “CLC”) (the United States, with its separate OPA regime described below, is not a party to the CLC). This convention generally applies to vessels that carry oil in bulk as cargo. Under this convention and depending on whether the country in which the damage results is a party to the 1992 Protocol to the CLC, the registered owner of a regulated vessel is strictly liable for pollution damage in the territorial waters or exclusive economic zone of a contracting state caused by the discharge of any oil from the ship, subject to certain defenses. Under an amendment to the 1992 Protocol that became effective on November 1, 2003, for vessels of 5,000 to 140,000 gross tons, liability per incident is limited to 4.51 million Special Drawing Rights (“SDR”) plus 631 SDR for each additional gross ton over 5,000. For a vessel over 140,000 gross tons, liability is limited to 89.77 million SDR. The SDR is an International Monetary Fund unit pegged to a basket of currencies. The right to limit liability under the CLC is forfeited where the spill is caused by the owner’s actual fault and, under the 1992 Protocol, where the spill is caused by the owner’s intentional or reckless conduct. Vessels trading in states that are parties to the CLC must provide evidence of insurance covering the liability of the owner. In jurisdictions where the CLC has not been adopted, various legislative schemes or common law regimes govern, and liability is imposed either on the basis of fault or in a manner similar to that convention. We believe that our protection and indemnity insurance will cover any liability under the CLC.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2001, the IMO adopted the International Convention on Civil Liability for Bunker Oil Pollution Damage, or the Bunker Convention, which imposes strict liability on ship owners for pollution damage caused by discharges of bunker oil in jurisdictional waters of ratifying states. The Bunker Convention also requires registered owners of ships over 1,000 gross tons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Because the Bunker Convention does not apply to pollution damage governed by the CLC, it applies only to discharges from any of our vessels that are not transporting oil. The Bunker Convention entered into force on November 21, 2008. Liability limits under the Bunker Convention were increased as of June 2015. In jurisdictions where the Bunker Convention has not been adopted, such as the United States, liability for spill or releases of oil from ship’s bunkers typically is determined by national or other domestic laws in the jurisdiction where the events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IMO adopted the BWM Convention in February 2004. The Convention’s implementing regulations call for a phased introduction of mandatory ballast water exchange requirements, to be replaced in time with mandatory concentration limits. The BWM Convention took effect on September 8, 2017. Many of the implementation dates originally contained in the BWM Convention had already passed prior to its effectiveness, so that the period for installation of mandatory ballast water exchange requirements would be very short, with several thousand ships per year needing to install the systems. Consequently, the IMO Assembly passed a resolution in December 2013 revising the dates for implementation of the ballast water management requirements so that they are triggered by the entry into force date. In effect, this makes all vessels constructed before September 8, 2017 “existing” vessels, allowing for the installation of ballast water management systems on such vessels at the first renewal International Oil Pollution Prevention (“IOPP”) survey following entry into force of the BWM Convention. In July 2017, the implementation scheme was further changed to require vessels with IOPP certificates expiring between September 8, 2017 and September 8, 2019 to comply at their second IOPP renewal. All ships must have installed a ballast water treatment system by September 8, 2024. Each vessel in our current fleet has ballast water treatment systems installed and has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been issued with an International Ballast Water Management Certificate by the classification society with respect to the applicable IMO regulations and guidelines. The cost of compliance could increase for our vessels as a result of these requirements, although it is difficult to predict the overall impact of such a requirement on our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 of our vessels is also affected by the requirements set forth in the ISM Code of the IMO. The ISM Code requires ship owners and bareboat charterers to develop and maintain an extensive SMS that includes the adoption of a safety and environmental protection policy setting forth instructions and procedures for safe operation and describing procedures for dealing with emergencies. Vessel operators must obtain a “Safety Management Certificate” from the government of the vessel’s flag state to verify that it is being operated in compliance with its approved SMS. The failure of a ship owner or bareboat charterer to comply with the ISM Code may subject such party to increased liability, decrease available insurance coverage for the affected vessels and result in a denial of access to, or detention in, certain ports. Currently, each of the vessels in our fleet is ISM code-certified. However, there can be no assurance that such certification will be maintained indefinitely.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Climate Control Initiatives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Kyoto Protocol requires adopting countries to implement national programs to reduce emissions of greenhouse gases, emissions of greenhouse gases from global maritime shipping are not currently subject to the Kyoto Protocol. The Kyoto Protocol was extended to 2020 at the 2012 United Nations Climate Change Conference, with the hope that a new climate change treaty would be adopted by 2015 and come into effect by 2020. The Paris Agreement adopted under the United Nations Framework Convention on Climate Change in December 2015 contemplates commitments from each nation party thereto to take action to reduce greenhouse gas emissions and limit increases in global temperatures but did not include any restrictions or other measures specific to shipping emissions. However, restrictions on shipping emissions are likely to continue to be considered and a new treaty may be adopted in the future that includes restrictions on shipping emissions. International or multi-national bodies or individual countries may adopt their own climate change regulatory initiatives.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IMO’s Marine Environment Protection Committee adopted two sets of mandatory requirements to address greenhouse gas emissions from shipping that entered into force in January 2013. The Energy Efficiency Design Index establishes minimum energy efficiency levels per capacity mile and applies to new vessels of 400 gross tons or greater. Currently operating vessels must develop and implement Ship Energy Efficiency Plans. By 2025, all new ships built must be 30% more energy efficient than those built in 2014, but it is likely that the IMO will increase these requirements such that new ships must be up to 50% more energy efficient than those built in 2014 by 2022. These new requirements could cause us to incur additional costs to comply. Draft MARPOL amendments released in November 2020 and adopted in June 2021 build on the EEDI and SEEMP by requiring ships to reduce carbon intensity based on a new Energy Efficiency Existing Ship Index and reduce operational carbon intensity reductions based on a new operational carbon intensity indicator, in line with the IMO strategy which aims to reduce carbon intensity of global maritime shipping by 40% by 2030. The EEXI, which entered into force in January 2023, requires alterations to a vessel’s design, machinery or arrangements to meet a certain goal of CO2 grams emitted per capacity tonne mile under certain reference conditions. This measure accounts for the vessel’s engine power, fuel consumption and CO2 conversion capacity, all of which make it impossible to effect EEXI compliance by merely reducing the ship’s speed or cargo load. Alongside the EEXI, a mandatory Carbon Intensity Indicator (“CII”) was introduced on January 1, 2023. This measure of annual efficiency is used to rate vessels based on the grams of CO2 they emit per dwt-mile, giving all cargo vessels above 5,000 GT a rating of A to E every year. The rating thresholds will become increasingly stringent towards 2030. For ships that achieve a D rating for three consecutive years or an E rating, a corrective action plan needs to be developed as part of the SEEMP and approved. These changes were accompanied by the introduction of the so-called “Enhanced SEEMP,” a strengthened version of SEEMP that includes new mandatory content, such as a CII target implementation plan, on top of being subject to approval by appropriate authorities. These new requirements for existing ships will be reviewed by the end of 2025, with particular focus on the enforcement of the carbon intensity rating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IMO is also considering the development of market-based mechanisms for limiting greenhouse gas emissions from ships, but it is impossible to predict the likelihood of adoption of such a standard or the impact on our operations. In April 2015, the EU adopted regulations requiring the monitoring and reporting of greenhouse gas emissions from marine vessels (of over 5,000 gross tons) which went into effect in January 2018. In June 2022, the European Union revised proposed amendments to these regulations which would effectively impose an Emissions Trading System (“ETS”) on Marine Shipping going through ports or routes under the E.U.’s regulatory jurisdiction. If adopted, these amendments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would impose an additional regulatory burden on us to confirm that our vessels meet the revised EU requirements, as well as potential additional costs related to the ETS. The EPA has issued a finding that greenhouse gas emissions endanger the public health and safety and has adopted regulations under the Clean Air Act to limit emissions of greenhouse gases from certain mobile sources and proposed regulations to limit greenhouse gas emissions from large stationary sources, although the mobile source regulations do not apply to greenhouse gas emissions from vessels. Any passage of climate control initiatives by the IMO, the EU or the individual countries in which we operate that limit greenhouse gas emissions from vessels could require us to limit our operations or make significant financial expenditures that we cannot predict with certainty at this time. Passage of climate control initiatives that affect the demand for oil may also materially affect our business. Even in the absence of climate control legislation and regulations, our business may be materially affected to the extent that climate change may result in sea level changes or more intense weather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China Maritime Safety Administration (the “China MSA”) issued the Regulation on Data Collection of Energy Consumption for Ships in November 2018. This regulation became effective on January 1, 2019 and requires ships calling on Chinese ports to report fuel consumption and transport work details directly to the China MSA. This regulation also contains additional requirements for Chinese-flagged vessels (domestic and international) and other non-Chinese-flagged international navigating vessels. In November 2022, the China MSA published an additional Regulation of Administrative Measures of Ship Energy Consumption Data and Carbon Intensity, which came into effect on December 22, 2022. This regulation was essentially enacted to implement MARPOL Annex VI to Chinese-flagged vessels, though a few of its provisions also apply to foreign ships with a gross tonnage of at least 400 entering and exiting Chinese ports. This Regulation essentially applies more stringent rules around that collection and reporting of data related to ships’ energy consumption, as is already required by the 2018 regulation.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2017, the Global Industry Alliance, or the GIA, was officially inaugurated. The GIA is a program, under the Global Environmental Facility-United Nations Development Program-IMO project, which supports shipping, and related industries, as they move towards a low carbon future. Organizations including, but not limited to, ship owners, operators, classification societies, and oil companies, signed to launch the GIA. In addition, the United States is currently experiencing changes in its environmental policy, the results of which have yet to be fully determined.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legislation or regulation applicable to the operation of our ships that may be implemented in the future could negatively affect our profitability. Furthermore, recent action by the IMO’s Maritime Safety Committee and U.S. agencies indicate that cybersecurity regulations for the maritime industry are likely to be further developed in the near future in an attempt to combat cybersecurity threats, as described below. This might cause companies to cultivate additional procedures for monitoring cybersecurity, which could require additional expenses and/or capital expenditures. However, the impact of such regulations is difficult to predict at this time.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Vessel Security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initiatives intended to enhance vessel security have been proposed since the terrorist attack on September 11, 2001. On November 25, 2002, the Maritime Transportation Security Act of 2002, or MTSA, came into effect in the United States. To implement certain portions of the MTSA, in July 2003, the United States Coast Guard issued regulations requiring the implementation of certain security requirements aboard vessels operating in waters subject to the jurisdiction of the United States. Similarly, in December 2002, amendments to the International Convention for the Safety of Life at Sea, or SOLAS, created a new chapter of the convention dealing specifically with maritime security. The chapter went into effect in July 2004, and imposes various detailed security obligations on vessels and port authorities, most of which are contained in the newly created International Ship and Port Facilities Security or, ISPS, Code. Among the various requirements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on-board installation of automatic information systems, or AIS, to enhance vessel-to-vessel and vessel-to-shore communications;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on-board installation of ship security alert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of vessel security plans;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flag state security certification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United States Coast Guard regulation’s aim to align with international maritime security standards exempted non-United States vessels from MTSA vessel security measures provided such vessels have on board, by July 1, 2004, a valid International Ship Security Certificate (“ISSC”) that attests to the vessel’s compliance with SOLAS security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requirements and the ISPS Code. We have obtained ISSCs for all of our vessels and implemented the various security measures addressed by the MTSA, SOLAS and the ISPS Codes to confirm that our vessels attain compliance with all applicable security requirements within the prescribed time periods. We do not believe these requirements will have a material financial impact on our operations.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IMO Cyber Security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Maritime Safety Committee, at its 98th session in June 2017, adopted Resolution MSC.428(98) — Maritime Cyber Risk Management in Safety Management Systems. The resolution encourages administrations to confirm that cyber risks are appropriately addressed in existing safety management systems (as defined in the ISM Code) no later than the first annual verification of the company’s Document of Compliance after January 1, 2021. Owners risk having ships detained if they have not included cyber security in the SMS of ships by January 1, 2021.</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Vessel Recycling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EU has adopted a regulation aiming to facilitate the ratification of the IMO Recycling Convention and setting forth rules relating to vessel recycling and management of hazardous materials on vessels. In addition to new requirements for the recycling of vessels, the new regulation contains rules for the control and proper management of hazardous materials on vessels and prohibits or restricts the installation or use of certain hazardous materials on vessels. The new regulation applies to vessels flying the flag of an EU member state and certain of its provisions apply to vessels flying the flag of a third country calling at a port or anchorage of a member state. For example, when calling at a port or anchorage of a member state, a vessel flying the flag of a third country will be required, among other things, to have on board an inventory of hazardous materials that complies with the requirements of the new regulation and the vessel must be able to submit to the relevant authorities of that member state a copy of a statement of compliance issued by the relevant authorities of the country of the vessel’s flag verifying the inventory. The new regulation took effect on non-EU-flagged vessels calling on EU ports on December 31, 2020.</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Flag state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ship must be registered in a country and sailed under the flag of the country which that ship is registered (the “Flag State”). The effect is that the ship will have a nationality. Even in another state’s territorial waters, those on board of the ship are also subject to the law of the Flag State. The ship is subject to the jurisdiction of the Flag State and the Flag State can exercise regulatory control over the ship that sails under its flag. The jurisdiction and regulatory controls involve inspection, certification and the issue of papers in relation to safety and pollution prevention pursuant to the applicable international conventions and national laws. The vessels owned or chartered by us are registered in Hong Kong and Marshall Islands. In addition to the international convention, the vessels owned or chartered by our Group are also subject to the applicable laws, regulations and requirements of Hong Kong and Marshall Islands.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Hong Kong laws and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conduct business in Hong Kong through our Shipping Subsidiaries, our business operations are subject to various regulations and rules promulgated by the Hong Kong government. The following is a brief summary of the Hong Kong laws and regulations that currently and materially affect our business. This section does not purport to be a comprehensive summary of all present and proposed regulations and legislation relating to the industries in which we operate.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Personal Data (Privacy) Ordinance (Chapter 486 of the Laws of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Data (Privacy) Ordinance (Chapter 486 of the Laws of Hong Kong) (the “PDPO”) provides the principles that a person who, either alone or jointly or in common with other persons, controls the collection, holding, processing or use of personal data (a “Data User”) must follow in respect of any acts concerning information, existing in a form which access to or processing of is practicable, which relates to a living individual and can be used to identify that individual (the “Personal Data”). Contravention with the PDPO may entitle the Privacy Commissioner for Personal Data (the “Commissioner”) to issue a written enforcement notice (the “Enforcement Notice”) directing such Data User to remedy and prevent recurrence of contravention.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Data User can provide reasons acceptable to the Commissioner, contravention with the Enforcement Notice is an offence and the offender is liable to fine, and imprisonment and a daily penalty.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Registration Ordinance (Chapter 310 of the Laws of Hong Kong) (“BRO”)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carry on businesses in Hong Kong, we are subject to BRO, which requires every person (a company or an individual) carrying on a business in Hong Kong to register with the Inland Revenue Department of Hong Kong and obtain a business registration certificate within one month of the commencement of the business. Business registration is a process based on application and does not involve government approval. Once the requisite criteria are met, a business registration certificate in Hong Kong will be granted. Business registration serves to notify the Inland Revenue Department in Hong Kong of the establishment of a business in Hong Kong and facilitate the collection of tax from businesses in Hong Kong.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Inland Revenue Ordinance (Chapter 112 of the Laws of Hong Kong) (“IRO”)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IRO is an ordinance for the purposes of imposing taxes on property, earnings and profits in Hong Kong. The IRO provides, among others, that persons, which include corporations, partnerships, trustees and bodies of persons, carrying on any trade, profession or business in Hong Kong are chargeable to tax on all profits (excluding profits arising from the sale of capital assets) arising in or derived from Hong Kong from such trade, profession or business. The standard profits tax rate for corporations is at 16.5%. Under the two-tiered profits tax rates regime, commencing from the year of assessment 2018/2019, the first two million of profits in Hong Kong dollars earned by a Hong Kong entity (except those with a connected entity which is nominated to be chargeable at the two-tiered rates) will be taxed at half the current tax rate (i.e., 8.25%) while the remaining profits will continue to be taxed at the existing 16.5% tax rate. In other words, within a group of connected entities, only one entity can enjoy the two-tiered profits tax rates. IRO also contains provisions relating to, among others, permissible deductions for outgoings and expenses, set-offs for losses and allowances for depreciation.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IRO contains provisions which require the adoption of the arm’s length principle for pricing in related party transactions. Section 20A of the IRO gives the Inland Revenue Department (the “IRD”) wide powers to collect tax due from non-residents. The IRD may also make transfer pricing adjustments by disallowing expenses incurred by the Hong Kong resident under sections 16(1), 17(1)(b) and 17(1)(c) of the IRO and challenging the entire arrangement under general anti-avoidance provisions, such as sections 61 and 61A of the IRO.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23B of the IRO,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Competition Ordinance (Chapter 619 of the Laws of Hong Kong) (“Competition Ordinance”)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Competition Ordinance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 (ii) the second conduct rule prohibits undertakings with a substantial degree of market power in a market from abusing that power by engaging in conduct that has the object or 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Competition Commission is a statutory body in Hong Kong established to investigate any contravention against and enforce on the provisions of the Competition Ordinance, and the Competition Tribunal is a tribunal set up under the Competition Ordinance, as part of Hong Kong judiciary, to hear and decide cases connected with competition law in Hong Kong. Under the guidelines and policies published by the Competition Commission, possible outcomes of investigation of contravention of the Competition Ordinance may include the acceptance of commitment given by infringer, the issuing of warning notice or infringement notice, commencement of proceedings in the Competition Tribunal, applying for consent order, referral of complaint to a government agency and the conduct of a market study. The Competition Tribunal may order remedies including pecuniary penalty, disqualification or other order under the Competition Ordinance.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guidelines and policies published by the Competition Commission in Hong Kong did not mention any remedies which may impact on the Company’s ability to accept foreign investment or list on a U.S./foreign exchange as a result of the non-compliance of the Competition Ordinance.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Ordinance (Chapter 281 of the Laws of Hong Kong) (“MSO”)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MSO principally deals with (a) registration and licensing of ships; (b) forfeiture of ship; (c) compulsory third party risks insurance; and (d) detention of ships. Under the MSO, there are three subsidiary legislations applicable to us which comprise Merchant Shipping (Forms) Regulations, Merchant Shipping (Fees) Regulations and Merchant Shipping (Marine Courts) Regulations, relating mainly to forms and fees for the purpose of the MSO or of regulations under the MSO, and formal investigations into casualties and inquiries into charges of incompetency or misconduct.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(Registration) Ordinance (Chapter 415 of the Laws of Hong Kong) (“MS(R)O”)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MS(R)O provides for the registration of ships and mortgages of ships in Hong Kong. According to the MS(R)O, a ship subject to a demise charterparty may be registered in Hong Kong if the demise charterer or lessee of that ship is a “qualified person” as defined in MS(R)O. There is no requirement that a ship owned by a qualified person must be registered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Qualified persons under MS(R)O include: (i) an individual who is a resident of Hong Kong and holds a valid Hong Kong identity card; (ii) a company incorporated in Hong Kong; and (iii) a company incorporated outside Hong Kong, but which has established a place of business in Hong Kong and has registered under the Companies Ordinance in Hong Kong as “an oversea company” with a place of business in Hong Kong. The HK Subsidiaries fall within the definition of “qualified persons”.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MS(R)O, there are subsidiary legislations applicable to us which include, among others, Merchant Shipping (Registration) (Fees and Charges) Regulations (Chapter 415A of the Laws of Hong Kong), Merchant Shipping (Registration) (Ships’ Names) Regulations (Chapter 415B of the Laws of Hong Kong) and the Merchant Shipping (Registration) (Tonnage) Regulations (Chapter 415C of the Laws of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Registrar of Ships of Hong Kong is responsible for keeping a register for ships registered or provisionally registered under the MS(R)O. The register shall contain particulars in respect of ships, owners and their respective interests in ships, demise charterers, mortgagees and representative persons as are prescribed.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(Safety) Ordinance (Chapter 369 of the Laws of Hong Kong) (“MS(S)O”) and Merchant Shipping (Prevention and Control of Pollution) Ordinance (Chapter 413 of the Laws of Hong Kong) (“MS(PC)O”)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is an Associate Member of the International Maritime Organization (IMO) and has accepted the international conventions relating to safety and protection of the marine environment. These conventions are implemented through regulations made under the MS(S)O and MS(PC)O and regulates the safety and prevention and control of pollution issues of Hong Kong ships.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(Liability and Compensation for Oil Pollution) Ordinance (Chapter 414 of the Laws of Hong Kong) (“MS(LCOP)O”)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MS(LCOP)O provides for the legislative framework in enforcing claims against the shipowners where any persistent oil carried by the ship is discharged or escaped from the ship resulting in pollution and damage.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 Pollution Control (Fuel for Vessels) Regulations (Chapter 311AB of the Laws of Hong Kong) (“APC(FV)R”)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APC(FV)R regulates the air pollution from the marine sector and implements marine emission standards. A statutory cap of 0.05% on the sulfur content of locally supplied marine light diesel (MLD) has been imposed, which primarily affects local vessels. Ocean-going vessels (OGVs) are also required to switch to compliant fuel while at berth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International Maritime Organization (IMO) requires the sulfur content in fuel oil to be less than 0.5%. The prohibition applies to vessels within the waters of Hong Kong. During its stay in the waters of Hong Kong, a vessel is prohibited from using any fuel other than compliant fuel for combustion purposes for operating any of its specified machinery, which includes the main engine, auxiliary engine, boiler and generator.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Compliant fuel required by the APC(FV)R includes low-sulfur marine fuel with sulfur content not exceeding 0.5%, liquefied natural gas or any other fuel approved by the authority.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owner and master of OGVs in the waters of Hong Kong must record the following particulars in a log book of the vessel as soon as practicable: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date and time when the vessel enters and exits the waters of Hong Kong;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date and time when a fuel switch operation to compliant fuel is completed on the vessel;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vessel’s position, and the volume and sulfur content of the compliant fuel carried on the vessel for operating its specified machinery when a fuel switch operation to compliant fuel is completed on the vessel;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date and time when a fuel switch operation to non-compliant fuel commences on the vessel;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vessel’s position, and the volume and sulfur content of the compliant fuel carried on the vessel for operating its specified machinery when a fuel switch operation to non-compliant fuel commences on the vessel.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(Collision Damage Liability and Salvage) Ordinance (Chapter 508 of the Laws of Hong Kong) (“MS(CDLS)O”)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MS(CDLS)O governs the law relating to salvage operations. This Ordinance incorporates the International Convention on Salvage 1989, thereby bringing this aspect of Hong Kong law in line with international laws.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Carriage of Goods by Sea Ordinance (Chapter 462 of the Laws of Hong Kong) (“CGSO”)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CGSO incorporates the Hague-Visby Rules which governs the rights and liabilities (and the limitation of such liabilities) of the parties (including the shipowners) relating to the transportation of goods by sea. Whilst most of the member states to the international conventions simply adopt the requirements of the international conventions by incorporating the same in its national laws, the Flag State requirements of some states may be different or extended to aspects which are not addressed in the international conventions.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Dangerous Goods Ordinance (Chapter 295 of the Laws of Hong Kong) (“DGO”)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8 of the DGO, no person (including a body corporate) shall, inter alia, supply vessels or equipment for loading, discharging or moving dangerous goods on vessels except under and in accordance with a licence (or permit) issued under the DGO.</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Occupiers Liability Ordinance (Chapter 314 of the Laws of Hong Kong) (“OLO”)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OLO regulates the obligations of a person occupying or having control of premises on injury resulting to persons or damage caused to goods or other property lawfully on the land.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OLO imposes a common duty of care on an occupier of a premise to take reasonable care of the premise in all circumstances so as to ensure that his visitor will be reasonably safe in using the premises for the purposes for which he is invited or permitted by the occupier to be there.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Employment Ordinance </w:t>
      </w:r>
      <w:r>
        <w:rPr>
          <w:rFonts w:ascii="Times New Roman PS Std;serif" w:hAnsi="Times New Roman PS Std;serif"/>
          <w:b w:val="false"/>
          <w:i w:val="false"/>
          <w:caps w:val="false"/>
          <w:smallCaps w:val="false"/>
          <w:sz w:val="20"/>
        </w:rPr>
        <w:t>(Chapter 57 of the Laws of Hong Kong) (“EO”)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EO, all employees covered by the EO, irrespective of their hours of work, are entitled to basic protection under the EO including but not limited to payment of wages, restrictions on wages deductions and the granting of statutory holidays. According to the Employment Ordinance, an employer who willfully and without reasonable excuse fails to pay wages to an employee when it becomes due is liable to fine and imprisonment. Employees who are employed under a continuous contract are further entitled to such benefits as rest days, paid annual leave, sickness allowance, severance payment and long service payment, etc.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Mandatory Provident Fund Schemes Ordinance (</w:t>
      </w:r>
      <w:r>
        <w:rPr>
          <w:rFonts w:ascii="Times New Roman PS Std;serif" w:hAnsi="Times New Roman PS Std;serif"/>
          <w:b w:val="false"/>
          <w:i w:val="false"/>
          <w:caps w:val="false"/>
          <w:smallCaps w:val="false"/>
          <w:sz w:val="20"/>
        </w:rPr>
        <w:t>Chapter 485 of the Laws of Hong Kong</w:t>
      </w:r>
      <w:r>
        <w:rPr>
          <w:rFonts w:ascii="Times New Roman PS Std;serif" w:hAnsi="Times New Roman PS Std;serif"/>
          <w:b w:val="false"/>
          <w:i/>
          <w:caps w:val="false"/>
          <w:smallCaps w:val="false"/>
          <w:sz w:val="20"/>
        </w:rPr>
        <w:t>) (“</w:t>
      </w:r>
      <w:r>
        <w:rPr>
          <w:rFonts w:ascii="Times New Roman PS Std;serif" w:hAnsi="Times New Roman PS Std;serif"/>
          <w:b w:val="false"/>
          <w:i w:val="false"/>
          <w:caps w:val="false"/>
          <w:smallCaps w:val="false"/>
          <w:sz w:val="20"/>
        </w:rPr>
        <w:t>MPFSO</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MPFSO, every employer must take all practicable steps to ensure that the employee becomes a member of a Mandatory Provident Fund (MPF) scheme. Section 7A of the MPFSO requires an employer who is employing a relevant employee to, for each contribution period occurring after that commencement (i) from the employer’s own funds, contribute to the relevant registered scheme the amount determined in accordance with MPFSO; and (ii) deduct from the employee’s relevant income for that period as a contribution by the employee to that scheme the amount determined in accordance with MPFSO. Under the MPF Scheme, the employer and its employees are each required to make contributions to the plan at 5% of the employees’ relevant income, subject to the minimum and maximum relevant income levels. An employer who fails to comply with such a requirement may face a fine and imprisonment.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Employees’ Compensation Ordinance </w:t>
      </w:r>
      <w:r>
        <w:rPr>
          <w:rFonts w:ascii="Times New Roman PS Std;serif" w:hAnsi="Times New Roman PS Std;serif"/>
          <w:b w:val="false"/>
          <w:i w:val="false"/>
          <w:caps w:val="false"/>
          <w:smallCaps w:val="false"/>
          <w:sz w:val="20"/>
        </w:rPr>
        <w:t>(Chapter 282 of the Laws of Hong Kong) (“ECO”)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ECO, all employers are required to take out insurance policies to cover their liabilities under the ECO and at common law for injuries or death at work in respect of all of their employees. Under the ECO, if an employee sustains injuries or dies as a result of an accident arising out of and in the course of employment, the employer is generally liable to pay compensation even if the employee might have committed acts of faults or negligence when the accident occurred. An employer failing to do so may be liable to a fine and imprisonment.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Minimum Wage Ordinance </w:t>
      </w:r>
      <w:r>
        <w:rPr>
          <w:rFonts w:ascii="Times New Roman PS Std;serif" w:hAnsi="Times New Roman PS Std;serif"/>
          <w:b w:val="false"/>
          <w:i w:val="false"/>
          <w:caps w:val="false"/>
          <w:smallCaps w:val="false"/>
          <w:sz w:val="20"/>
        </w:rPr>
        <w:t>(Chapter 608 of the Laws of Hong Kong) (“MWO”)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MWO, an employee is entitled to be paid wages no less than the statutory minimum wage rate during the wage period. Failure to comply with MWO constitutes an offence under EO.</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Occupational Safety and Health Ordinance (Chapter 509 of the Laws of Hong Kong) (the “OSHO”)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OSHO, employers must as far as reasonably practicably ensure the safety and health of their employees in workplace. An employer who fails to ensure the safety and health of employees in a workplace is liable on conviction to fine and imprisonment.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1"/>
      <w:bookmarkEnd w:id="14"/>
      <w:r>
        <w:rPr>
          <w:rFonts w:ascii="Times New Roman PS Std;serif" w:hAnsi="Times New Roman PS Std;serif"/>
          <w:b/>
          <w:i w:val="false"/>
          <w:caps w:val="false"/>
          <w:smallCaps w:val="false"/>
          <w:sz w:val="20"/>
        </w:rPr>
        <w:t xml:space="preserve">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Intercont’s executive officers and directors as of the date of this prospectus.</w:t>
      </w:r>
    </w:p>
    <w:tbl>
      <w:tblPr>
        <w:tblW w:w="10205" w:type="dxa"/>
        <w:jc w:val="left"/>
        <w:tblInd w:w="0" w:type="dxa"/>
        <w:tblLayout w:type="fixed"/>
        <w:tblCellMar>
          <w:top w:w="0" w:type="dxa"/>
          <w:left w:w="0" w:type="dxa"/>
          <w:bottom w:w="0" w:type="dxa"/>
          <w:right w:w="0" w:type="dxa"/>
        </w:tblCellMar>
      </w:tblPr>
      <w:tblGrid>
        <w:gridCol w:w="3325"/>
        <w:gridCol w:w="146"/>
        <w:gridCol w:w="556"/>
        <w:gridCol w:w="146"/>
        <w:gridCol w:w="6032"/>
      </w:tblGrid>
      <w:tr>
        <w:trPr/>
        <w:tc>
          <w:tcPr>
            <w:tcW w:w="3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60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Position/Title</w:t>
            </w:r>
          </w:p>
        </w:tc>
      </w:tr>
      <w:tr>
        <w:trPr/>
        <w:tc>
          <w:tcPr>
            <w:tcW w:w="332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Muchun Zhu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6032"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332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Qingyuan Wang</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tcPr>
          <w:p>
            <w:pPr>
              <w:pStyle w:val="TableContents"/>
              <w:bidi w:val="0"/>
              <w:spacing w:before="0" w:after="283"/>
              <w:jc w:val="left"/>
              <w:rPr/>
            </w:pPr>
            <w:r>
              <w:rPr/>
              <w:t> </w:t>
            </w:r>
          </w:p>
        </w:tc>
        <w:tc>
          <w:tcPr>
            <w:tcW w:w="603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Director</w:t>
            </w:r>
          </w:p>
        </w:tc>
      </w:tr>
      <w:tr>
        <w:trPr/>
        <w:tc>
          <w:tcPr>
            <w:tcW w:w="332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Schumann</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bidi w:val="0"/>
              <w:spacing w:before="0" w:after="283"/>
              <w:jc w:val="left"/>
              <w:rPr/>
            </w:pPr>
            <w:r>
              <w:rPr/>
              <w:t> </w:t>
            </w:r>
          </w:p>
        </w:tc>
        <w:tc>
          <w:tcPr>
            <w:tcW w:w="6032"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r>
      <w:tr>
        <w:trPr/>
        <w:tc>
          <w:tcPr>
            <w:tcW w:w="332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Dahong Li</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tcPr>
          <w:p>
            <w:pPr>
              <w:pStyle w:val="TableContents"/>
              <w:bidi w:val="0"/>
              <w:spacing w:before="0" w:after="283"/>
              <w:jc w:val="left"/>
              <w:rPr/>
            </w:pPr>
            <w:r>
              <w:rPr/>
              <w:t> </w:t>
            </w:r>
          </w:p>
        </w:tc>
        <w:tc>
          <w:tcPr>
            <w:tcW w:w="603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r>
      <w:tr>
        <w:trPr/>
        <w:tc>
          <w:tcPr>
            <w:tcW w:w="332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Yuanmei Ma</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bidi w:val="0"/>
              <w:spacing w:before="0" w:after="283"/>
              <w:jc w:val="left"/>
              <w:rPr/>
            </w:pPr>
            <w:r>
              <w:rPr/>
              <w:t> </w:t>
            </w:r>
          </w:p>
        </w:tc>
        <w:tc>
          <w:tcPr>
            <w:tcW w:w="6032"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Muchun Zhu, </w:t>
      </w:r>
      <w:r>
        <w:rPr>
          <w:rFonts w:ascii="Times New Roman PS Std;serif" w:hAnsi="Times New Roman PS Std;serif"/>
          <w:b w:val="false"/>
          <w:i w:val="false"/>
          <w:caps w:val="false"/>
          <w:smallCaps w:val="false"/>
          <w:sz w:val="20"/>
        </w:rPr>
        <w:t>Chief Executive Officer and Chairman of the Board of the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Zhu has been serving as the chief executive officer and director and Chairman of the board of directors of Intercont since July 2023. Ms. Zhu has over ten years of work experience in finance and investing. Prior to working at Intercont, Ms. Zhu served as a managing director at Beijing Jiulichenwei Investment and Management Company from 2018 to 2023. From 2015 to 2018, Ms. Zhu served as the president and chief executive officer of Innovate Asset Management (Group) Co., Ltd. Ms. Zhu served as a senior investment adviser at Topsheen Shipping Group Limited from 2019 to 2020. Ms. Zhu obtained her bachelor’s degree in business administration from the University of Plymouth in 2005, and her master’s degree in finance and investment from the University of Exeter in 2006.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Qingyuan Wang,</w:t>
      </w:r>
      <w:r>
        <w:rPr>
          <w:rFonts w:ascii="Times New Roman PS Std;serif" w:hAnsi="Times New Roman PS Std;serif"/>
          <w:b w:val="false"/>
          <w:i w:val="false"/>
          <w:caps w:val="false"/>
          <w:smallCaps w:val="false"/>
          <w:sz w:val="20"/>
        </w:rPr>
        <w:t xml:space="preserve"> Chief Financial Officer and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Wang has been serving as the chief financial officer and director of Intercont since September 2024. Ms. Wang served as an Associate Financial Director and Senior Manager of Merck (China) Holding Co., Ltd. from June 2011 to December 2023. Ms. Wang served as a Finance Manager of the Shanghai branch of ThyssenKrupp (China) Investment Co., Ltd. from March 2005 to June 2011. Ms. Wang served as a Finance Manager of Beijing BDQN Technology Co., Ltd. from September 2001 to March 2005. From September 1999 to September 2001, Ms. Wang served as an accountant of Nanjing Dachang Hospital. Ms. Wang obtained her bachelor’s degree in accounting from Nanjing Economic College in 2002. Ms. Wang is a People’s Republic of China certified professional account and an International Certified Public Accountant.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Michael Schumann, </w:t>
      </w:r>
      <w:r>
        <w:rPr>
          <w:rFonts w:ascii="Times New Roman PS Std;serif" w:hAnsi="Times New Roman PS Std;serif"/>
          <w:b w:val="false"/>
          <w:i w:val="false"/>
          <w:caps w:val="false"/>
          <w:smallCaps w:val="false"/>
          <w:sz w:val="20"/>
        </w:rPr>
        <w:t>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Schumann is an independent director of Intercont. Mr. Schumann established Michael Schumann Public Affairs GmbH in 2010 and has been serving has a managing director since then. Mr. Schumann’s other corporate experience also includes serving as a managing director of DELCO International GmbH since 2017, serving as a member of the advisory board of Jiangsu Hexinyuan Investment Management Co. Ltd. from 2020 to 2022, and serving as a managing director of CCC China Coffee Culture Holding GmbH from 2018 to 2019. Additionally, Mr. Schumann has been serving on the board of directors of German Federal Association for Economic Development and Foreign Trade (BWA) e.V. since 2013, and the chairman of the board of directors since 2018. Mr. Schumann also served as a member of the advisory board of OWF East German Economic Forum from 2016 to 2023, a member of the extended board of directors at DJV — German Journalist and Media Association, Berlin Chapter from 2004 to 2014, and the honorary president of MPW — Berlin Forum on Media, Politics, and Economy in 2007. Mr. Schumann obtained his bachelor’s degree in German Literature from the University of Bonn in 1992, and his master’s degree in German Literature from the State University of New York at Binghamton in 1993.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Dahong Li, </w:t>
      </w:r>
      <w:r>
        <w:rPr>
          <w:rFonts w:ascii="Times New Roman PS Std;serif" w:hAnsi="Times New Roman PS Std;serif"/>
          <w:b w:val="false"/>
          <w:i w:val="false"/>
          <w:caps w:val="false"/>
          <w:smallCaps w:val="false"/>
          <w:sz w:val="20"/>
        </w:rPr>
        <w:t>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 is an independent director of Intercont,. Mr. Li has been working as an executive director and chairman of the board of Grand T G Gold Holdings Limited since 2016, and a managing director at Vision Capital Partners Limited since 2005. From 1995 to 2005, Mr. Li worked as a consultant at World Bank. From 1990 to 1995, Mr. Li worked at Dames &amp; Mores, Inc. as an engineer and manager. In 1982, Mr. Li graduated from Tsinghua University with a bachelor’s degree in civil and environmental engineering. Mr. Li obtained from University of Toronto his Ph.D. degree in civil engineering in 1990.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Yuanmei Ma,</w:t>
      </w:r>
      <w:r>
        <w:rPr>
          <w:rFonts w:ascii="Times New Roman PS Std;serif" w:hAnsi="Times New Roman PS Std;serif"/>
          <w:b w:val="false"/>
          <w:i w:val="false"/>
          <w:caps w:val="false"/>
          <w:smallCaps w:val="false"/>
          <w:sz w:val="20"/>
        </w:rPr>
        <w:t xml:space="preserve"> 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Ma is an independent director of Intercont,. Ms. Ma served as Chief Financial Officer and director of Thunder Power Holdings, Inc. (Nasdaq: AIEV), a Taiwanese electronic vehicle developer, after its business combination with Feutune Light Acquisition Corporation, a Delaware special purpose acquisition company (SPAC), from June 2024 to September 2024. Previously, she served as the Chief Financial Officer of Feutune Light Acquisition Corporation from January 2022 to June 2024. Before that, she served as the Chief Financial Officer of Aiways Group, an EV company in California from June 2022 to August 2023, and Mayrock Automotive Inc., a zero-emission commercial mobility company in California from September 2020 to June 2022. Between February 2021 and December 2022, Ms. Ma served as the Chief Financial Officer of Fortune Rise Acquisition Corporation (Nasdaq: FLFV), a Nasdaq listed SPAC. Ms. Ma was the director of investor relation at Highpower International Inc., from August 2016 to November 2019; when it was listed on Nasdaq (Formerly Nasdaq: HPJ). From July 2010 to June 2013, Ms. Ma was the Chief Financial Officer for Baosheng Steel Inc. She was Chief Financial Officer of Yihe Pharmaceutical Company Ltd. between August 2009 to June 2010; and Chief Financial Officer of Zhongpin Inc., (Formerly Nasdaq: HOGS), from September 2005 to October 2008. Ms. Ma holds an Executive MBA degree from both INSEAD Business School and Tsinghua University and a Bachelor’s degree in Accounting from Arkansas State University.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Agreements, Director Agreements and Indemnification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entered into employment agreements with each of its executive officers. Under these agreements, each of its executive officers is employed for three years. Either party may terminate the agreement with one month’s prior written notification.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officers are entitled to a fixed salary and other company benefits, each as determined by the board of directors from time to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Intercont’s executive officers has agreed not to release or disclose to anyone any confidential or secret information or knowledge of Intercont, whether developed by him/herself or by others.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set aside or accrued any amount to provide pension, retirement or other similar benefits to our executive officers and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entered into director agreements with each of its independent directors which agreements set forth the terms and provisions of their engagement.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Intercont has entered into indemnification agreements with each of its directors that provide such persons with additional indemnification beyond that provided in our current memorandum and articles of association.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 and Executive Officers (In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fiscal year ended June 30, 2025, we paid an aggregate of $22,626 in cash compensation and did not grant any shares to our directors and executive officers. For the year ended June 30, 2024, we paid an aggregate of US$0 in cash to our executive officers and directors. We have not set aside or accrued any amount to provide pension, retirement or other similar benefits to our directors and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has established an audit committee, a compensation committee and a nominating and corporate governance committee. Each committee member is appointed by the board of directors and serve until his or her successor is elected and qualified, unless he or she is removed or resigns earlier.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Nasdaq listing standards and applicable SEC rules, Intercont is required to have three members of the audit committee all of whom must be independent. Intercont has an audit committee of board of directors, which consists of Yuanmei Ma, Michael Schumann and Dahong Li, each of whom is an independent director under Nasdaq’s listing standards. Yuanmei Ma is the Chairperson of the audit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committee’s duties, which are specified in our Audit Committee Charter,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relationship with the independent auditor;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the Company’s internal control policies and procedures on a regular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compliance procedures;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Company’s annual and quarterly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Experts on 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will at all times be composed exclusively of “independent directors” who are “financially literate” as defined under Nasdaq listing standards. Nasdaq listing standards define “financially literate” as being able to read and understand fundamental financial statements, including a company’s balance sheet, income statement and cash flow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Yuanmei Ma qualifies as an “audit committee financial expert,” as defined under rules and regulations of the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a nominating and corporate governance committee of the board of directors, which consists of Michael Schumann, Dahong Li and Yuanmei Ma, each of whom is an independent director under Nasdaq’s listing standards. Michael Schumann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shareholders, investment bankers and others.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committee’s duties, which are specified in our Nominating and Corporate Governance Committee Charter,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recommendations as to the size and composition of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desired qualifications and characteristics for board membership and with corresponding attributes;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and administering a periodic assessment procedure relating to the performance of the board as a whole and its individual members;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recommending to the board of directors a set of corporate governance principles and practices.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sz w:val="20"/>
        </w:rPr>
        <w:t>G</w:t>
      </w:r>
      <w:r>
        <w:rPr>
          <w:rFonts w:ascii="Times New Roman PS Std;serif" w:hAnsi="Times New Roman PS Std;serif"/>
          <w:b/>
          <w:i/>
          <w:caps w:val="false"/>
          <w:smallCaps w:val="false"/>
          <w:sz w:val="20"/>
        </w:rPr>
        <w:t>uidelines for Selecting Director Nominees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guidelines for selecting nominees, which are specified in the Nominating and Corporate Governance Committee Charter, generally provide that persons to be nominated: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should have demonstrated notable or significant achievements in business, education or public service;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should possess the requisite intelligence, education and experience to make a significant contribution to the board of directors and bring a range of skills, diverse perspectives and backgrounds to its deliberations;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should have the highest ethical standards, a strong sense of professionalism and intense dedication to serving the interests of the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shall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the Board should follow the procedures set forth in our memorandum and articles of association. The nominating and corporate governance committee does not distinguish among nominees recommended by shareholders and other persons.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a compensation committee of the board of directors, which consists of Dahong Li, Yuanmei Ma, and Michael Schumann, each of whom is an independent director under Nasdaq’s listing standards. Dahong Li is the Chairperson of the compensation committee. The compensation committee’s duties, which are specified in our Compensation Committee Charter,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Company’s goals and objectives relevant to the executives’ compensation and evaluation of the executives; performance of such goals and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board of directors with respect to director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the Company’s incentive-compensation plans and equity-based plans;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any share option award or any other type of award as may be required for complying with any tax, securities, or other regulatory requirement.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Development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a strategic development committee of the board of directors, which consists of Muchun Zhu, Dahong Li, and Michael Schumann. Muchun Zhu is the Chairperson of the strategic development committee. The strategic development committee’s duties, which are specified in our Strategic Development Committee Charter,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development and execution of the Company’s strategic plan to create long-term stockholder value;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strategic actions, including strategic cooperation, investments, merger, acquisitions, divestitures and other business and financing strategies and assess such actions for strategic alignment, short and long-term impact on the Company’s objectives and stockholder value and other considerations.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reviewed the materiality of any relationship that each of our directors has with us, either directly or indirectly. Based on this review, it is determined that Michael Schumann, Dahong Li, and Yuanmei Ma, are “independent directors” as defined by Nasdaq.</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Code of Ethics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adopted a code of ethics that applies to all of our executive officers, directors and employees. The code of ethics codifies the business and ethical principles that govern all aspects of our business.</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Duties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Cayman Islands law, Intercont’s directors have a duty of loyalty to act honestly in good faith with a view to our best interests. Intercont’s directors also have a duty to act with skill and care. It was previously considered that a director need not exhibit in the performance of his duties a greater degree of skill than may reasonably be expected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 person of his knowledge and experience. However, English and Commonwealth courts have moved towards an objective standard with regard to the required skill and care and these authorities are likely to be followed in the Cayman Islands. In fulfilling their duty of care to us, Intercont’s directors must confirm the compliance with our memorandum and articles of association as amended and restated from time to time, and the class rights vested thereunder in the holders of the shares. Intercont’s board of directors has all the powers necessary for managing, and for directing and supervising, our business affairs. The functions and powers of Intercont’s board of directors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convening shareholders’ annual and extraordinary general meetings;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declaring dividends and distributions;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of the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our company and mortgaging the property of our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transfer of shares in our company, including the registration of such shares in the register of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the right to seek damages if a duty owed by our directors is breached. A shareholder may in certain limited exceptional circumstances have the right to seek damages in our name if a duty owed by our directors is breached. You should refer to “Description of Share Capital — Differences in Corporate Law” for additional information on our standard of corporate governance under Cayman Islands law.</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Terms of Directors and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officers are elected by and serve at the discretion of the board of directors of Intercont and may be removed by the board of directors of Intercont. The directors of the board of Intercont shall not be required to retire by rotation. The office of a director shall be vacated if the director dies, resigns, or is removed from office by a shareholders’ ordinary resolution. A director will be removed from office automatically if, among other things, the director becomes bankrupt or makes any arrangement or composition with his creditors or becomes of unsound mind.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0"/>
      <w:bookmarkEnd w:id="15"/>
      <w:r>
        <w:rPr>
          <w:rFonts w:ascii="Times New Roman PS Std;serif" w:hAnsi="Times New Roman PS Std;serif"/>
          <w:b/>
          <w:i w:val="false"/>
          <w:caps w:val="false"/>
          <w:smallCaps w:val="false"/>
          <w:sz w:val="20"/>
        </w:rPr>
        <w:t xml:space="preserve">PRINCIPAL SHAREHOLDERS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within the meaning of Rule 13d-3 under the Exchange Act, of our Class A Ordinary Shares and Class B Ordinary Shares as of the date of this prospectus for: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to us to own beneficially more than 5% of our Class A Ordinary Shares or Class B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Class A Ordinary Shares or Class B Ordinary Shares shown as beneficially owned by them. Percentage of beneficial ownership of each listed person is based on 1,437,740 Class A Ordinary Shares and 206,598.04 Class B Ordinary Shares outstanding as of the date of this prospectus. The percentage of beneficial ownership in the table below after this offering is based on 9,437,740 Class A Ordinary Shares and 206,598.04 Class B Ordinary Shares outstanding after the closing of this offering, not taking into account the Class A Ordinary Shares that are issuable upon the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with respect to beneficial ownership has been furnished by each director, officer, or beneficial owner of 5% or more of our Class A Ordinary Shares or Class B Ordinary Shares. Beneficial ownership is determined in accordance with the rules of the SEC and generally requires that such person have voting or investment power with respect to securities. In computing the number of Class A Ordinary Shares beneficially owned by a person listed below and the percentage ownership of such person, Class A Ordinary Shares underlying options, warrants, or convertible securities, including Class B Ordinary Shares, held by each such person that are exercisable or convertible within 60 days of the date of this prospectus are deemed outstanding, but are not deemed outstanding for computing the percentage ownership of any other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in the table below, addresses of Intercont’s directors, executive officers and named beneficial owners are in care of Intercont (Cayman) Limited, 39 OCEAN DRIVE, SINGAPORE, Singapore, 098187, Tel: +65 8818239.</w:t>
      </w:r>
    </w:p>
    <w:tbl>
      <w:tblPr>
        <w:tblW w:w="15851" w:type="dxa"/>
        <w:jc w:val="left"/>
        <w:tblInd w:w="0" w:type="dxa"/>
        <w:tblLayout w:type="fixed"/>
        <w:tblCellMar>
          <w:top w:w="0" w:type="dxa"/>
          <w:left w:w="0" w:type="dxa"/>
          <w:bottom w:w="0" w:type="dxa"/>
          <w:right w:w="0" w:type="dxa"/>
        </w:tblCellMar>
      </w:tblPr>
      <w:tblGrid>
        <w:gridCol w:w="2306"/>
        <w:gridCol w:w="146"/>
        <w:gridCol w:w="961"/>
        <w:gridCol w:w="146"/>
        <w:gridCol w:w="1246"/>
        <w:gridCol w:w="146"/>
        <w:gridCol w:w="1411"/>
        <w:gridCol w:w="146"/>
        <w:gridCol w:w="827"/>
        <w:gridCol w:w="389"/>
        <w:gridCol w:w="146"/>
        <w:gridCol w:w="889"/>
        <w:gridCol w:w="417"/>
        <w:gridCol w:w="146"/>
        <w:gridCol w:w="961"/>
        <w:gridCol w:w="146"/>
        <w:gridCol w:w="1246"/>
        <w:gridCol w:w="146"/>
        <w:gridCol w:w="1411"/>
        <w:gridCol w:w="146"/>
        <w:gridCol w:w="762"/>
        <w:gridCol w:w="394"/>
        <w:gridCol w:w="146"/>
        <w:gridCol w:w="786"/>
        <w:gridCol w:w="385"/>
      </w:tblGrid>
      <w:tr>
        <w:trPr/>
        <w:tc>
          <w:tcPr>
            <w:tcW w:w="23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24"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Beneficially Owned </w:t>
              <w:br/>
              <w:t>Prior to the Offering</w:t>
            </w:r>
          </w:p>
        </w:tc>
        <w:tc>
          <w:tcPr>
            <w:tcW w:w="146" w:type="dxa"/>
            <w:tcBorders/>
            <w:vAlign w:val="bottom"/>
          </w:tcPr>
          <w:p>
            <w:pPr>
              <w:pStyle w:val="TableContents"/>
              <w:bidi w:val="0"/>
              <w:spacing w:before="0" w:after="283"/>
              <w:jc w:val="left"/>
              <w:rPr/>
            </w:pPr>
            <w:r>
              <w:rPr/>
              <w:t> </w:t>
            </w:r>
          </w:p>
        </w:tc>
        <w:tc>
          <w:tcPr>
            <w:tcW w:w="652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Beneficially Owned </w:t>
              <w:br/>
              <w:t>after the Offering</w:t>
            </w:r>
          </w:p>
        </w:tc>
      </w:tr>
      <w:tr>
        <w:trPr/>
        <w:tc>
          <w:tcPr>
            <w:tcW w:w="2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Class A </w:t>
              <w:br/>
              <w:t xml:space="preserve">Ordinary </w:t>
              <w:br/>
              <w:t>Shares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Class B </w:t>
              <w:br/>
              <w:t xml:space="preserve">Ordinary </w:t>
              <w:br/>
              <w:t>Shares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Ordinary </w:t>
              <w:br/>
              <w:t xml:space="preserve">Shares </w:t>
              <w:br/>
              <w:t xml:space="preserve">on an </w:t>
              <w:br/>
              <w:t xml:space="preserve">As-converted </w:t>
              <w:br/>
              <w:t>Basis</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Beneficial </w:t>
              <w:br/>
              <w:t>Ownership</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Aggregate   </w:t>
              <w:br/>
              <w:t xml:space="preserve">Voting </w:t>
              <w:br/>
              <w:t>Power</w:t>
            </w:r>
            <w:r>
              <w:rPr>
                <w:rFonts w:ascii="Times New Roman PS Std;serif" w:hAnsi="Times New Roman PS Std;serif"/>
                <w:b/>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Class A </w:t>
              <w:br/>
              <w:t xml:space="preserve">Ordinary </w:t>
              <w:br/>
              <w:t>Shares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Class B </w:t>
              <w:br/>
              <w:t xml:space="preserve">Ordinary </w:t>
              <w:br/>
              <w:t>Shares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Ordinary </w:t>
              <w:br/>
              <w:t xml:space="preserve">Shares </w:t>
              <w:br/>
              <w:t xml:space="preserve">on an </w:t>
              <w:br/>
              <w:t xml:space="preserve">As-converted </w:t>
              <w:br/>
              <w:t>Basis</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 of </w:t>
              <w:br/>
              <w:t xml:space="preserve">Beneficial </w:t>
              <w:br/>
              <w:t>Ownership</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 of </w:t>
              <w:br/>
              <w:t xml:space="preserve">Aggregate </w:t>
              <w:br/>
              <w:t xml:space="preserve">Voting </w:t>
              <w:br/>
              <w:t>Power</w:t>
            </w:r>
          </w:p>
        </w:tc>
      </w:tr>
      <w:tr>
        <w:trPr/>
        <w:tc>
          <w:tcPr>
            <w:tcW w:w="2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23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Director and Executive </w:t>
              <w:br/>
              <w:t>Officers:</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Muchun Zhu</w:t>
            </w:r>
            <w:r>
              <w:rPr>
                <w:rFonts w:ascii="Times New Roman PS Std;serif" w:hAnsi="Times New Roman PS Std;serif"/>
                <w:b w:val="false"/>
                <w:i w:val="false"/>
                <w:caps w:val="false"/>
                <w:smallCaps w:val="false"/>
                <w:sz w:val="12"/>
              </w:rPr>
              <w:t>(2)(3)(4)</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12.56</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93.49</w:t>
            </w:r>
          </w:p>
        </w:tc>
        <w:tc>
          <w:tcPr>
            <w:tcW w:w="4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w:t>
            </w:r>
          </w:p>
        </w:tc>
        <w:tc>
          <w:tcPr>
            <w:tcW w:w="39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68.64</w:t>
            </w:r>
          </w:p>
        </w:tc>
        <w:tc>
          <w:tcPr>
            <w:tcW w:w="3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3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Qingyuan Wang</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Michael Schumann</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Dahong Li</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Yuanmei Ma</w:t>
            </w:r>
            <w:r>
              <w:rPr>
                <w:rFonts w:ascii="Times New Roman PS Std;serif" w:hAnsi="Times New Roman PS Std;serif"/>
                <w:b w:val="false"/>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Shareholders:</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Brilliant Cheer Limited</w:t>
            </w:r>
            <w:r>
              <w:rPr>
                <w:rFonts w:ascii="Times New Roman PS Std;serif" w:hAnsi="Times New Roman PS Std;serif"/>
                <w:b w:val="false"/>
                <w:i w:val="false"/>
                <w:caps w:val="false"/>
                <w:smallCaps w:val="false"/>
                <w:sz w:val="12"/>
              </w:rPr>
              <w:t>(9)(10)</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357,525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357,525</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21.74</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1.62</w:t>
            </w:r>
          </w:p>
        </w:tc>
        <w:tc>
          <w:tcPr>
            <w:tcW w:w="4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357,525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357,525</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3.71</w:t>
            </w:r>
          </w:p>
        </w:tc>
        <w:tc>
          <w:tcPr>
            <w:tcW w:w="39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w:t>
            </w:r>
          </w:p>
        </w:tc>
        <w:tc>
          <w:tcPr>
            <w:tcW w:w="3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 </w:t>
            </w:r>
          </w:p>
        </w:tc>
      </w:tr>
      <w:tr>
        <w:trPr/>
        <w:tc>
          <w:tcPr>
            <w:tcW w:w="23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Three Star Shipping </w:t>
              <w:br/>
              <w:t>Cooperation</w:t>
            </w:r>
            <w:r>
              <w:rPr>
                <w:rFonts w:ascii="Times New Roman PS Std;serif" w:hAnsi="Times New Roman PS Std;serif"/>
                <w:b w:val="false"/>
                <w:i w:val="false"/>
                <w:caps w:val="false"/>
                <w:smallCaps w:val="false"/>
                <w:sz w:val="12"/>
              </w:rPr>
              <w:t>(10)(11)</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53,204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53,204</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w:t>
            </w:r>
          </w:p>
        </w:tc>
        <w:tc>
          <w:tcPr>
            <w:tcW w:w="3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53,204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53,204</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Eagle Dragon Limited</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178,763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178,763</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10.87</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178,763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178,763</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w:t>
            </w:r>
          </w:p>
        </w:tc>
        <w:tc>
          <w:tcPr>
            <w:tcW w:w="39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Golden Maple Holdings </w:t>
              <w:br/>
              <w:t>Limited</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102,150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102,150</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w:t>
            </w:r>
          </w:p>
        </w:tc>
        <w:tc>
          <w:tcPr>
            <w:tcW w:w="3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102,150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102,150</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1.06</w:t>
            </w:r>
          </w:p>
        </w:tc>
        <w:tc>
          <w:tcPr>
            <w:tcW w:w="39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Beverly Holding </w:t>
              <w:br/>
              <w:t>Limited</w:t>
            </w:r>
            <w:r>
              <w:rPr>
                <w:rFonts w:ascii="Times New Roman PS Std;serif" w:hAnsi="Times New Roman PS Std;serif"/>
                <w:b w:val="false"/>
                <w:i w:val="false"/>
                <w:caps w:val="false"/>
                <w:smallCaps w:val="false"/>
                <w:sz w:val="12"/>
              </w:rPr>
              <w:t>(4)(14)</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170,249.72</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170,249.72</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10.35</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77.04</w:t>
            </w:r>
          </w:p>
        </w:tc>
        <w:tc>
          <w:tcPr>
            <w:tcW w:w="4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170,249.72</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170,249.72</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w:t>
            </w:r>
          </w:p>
        </w:tc>
        <w:tc>
          <w:tcPr>
            <w:tcW w:w="39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56.57</w:t>
            </w:r>
          </w:p>
        </w:tc>
        <w:tc>
          <w:tcPr>
            <w:tcW w:w="3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 </w:t>
            </w:r>
          </w:p>
        </w:tc>
      </w:tr>
      <w:tr>
        <w:trPr/>
        <w:tc>
          <w:tcPr>
            <w:tcW w:w="23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Eascor Holding </w:t>
              <w:br/>
              <w:t>Limited</w:t>
            </w:r>
            <w:r>
              <w:rPr>
                <w:rFonts w:ascii="Times New Roman PS Std;serif" w:hAnsi="Times New Roman PS Std;serif"/>
                <w:b w:val="false"/>
                <w:i w:val="false"/>
                <w:caps w:val="false"/>
                <w:smallCaps w:val="false"/>
                <w:sz w:val="12"/>
              </w:rPr>
              <w:t>(4)(15)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36,348.32</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36,348.32</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w:t>
            </w:r>
          </w:p>
        </w:tc>
        <w:tc>
          <w:tcPr>
            <w:tcW w:w="3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16.45</w:t>
            </w:r>
          </w:p>
        </w:tc>
        <w:tc>
          <w:tcPr>
            <w:tcW w:w="41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36,348.32</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36,348.32</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12.08</w:t>
            </w:r>
          </w:p>
        </w:tc>
        <w:tc>
          <w:tcPr>
            <w:tcW w:w="3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 </w:t>
            </w:r>
          </w:p>
        </w:tc>
      </w:tr>
      <w:tr>
        <w:trPr/>
        <w:tc>
          <w:tcPr>
            <w:tcW w:w="23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 directors and executive officers as a group (five individuals)</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12.56</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93.49</w:t>
            </w:r>
          </w:p>
        </w:tc>
        <w:tc>
          <w:tcPr>
            <w:tcW w:w="4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w:t>
            </w:r>
          </w:p>
        </w:tc>
        <w:tc>
          <w:tcPr>
            <w:tcW w:w="39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68.64</w:t>
            </w:r>
          </w:p>
        </w:tc>
        <w:tc>
          <w:tcPr>
            <w:tcW w:w="3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Less than 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Percentage is calculated based on 1,437,740 Class A Ordinary Shares and 206,598.04 Class B Ordinary Shares issued and outstanding as of June 2,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On June 4, 2026, the Company and Beverly Holding Limited wholly controlled by our chairman of the board of directors and chief executive officer, Ms. Muchun Zhu, entered into a subscription agreement pursuant to which Beverly Holding Limited agrees to subscribe 650,000 Class B ordinary shares. Following the completion of Beverly Holding Limited’s subscription and the completion of this offering, assuming a full offering of 8,000,000 Class A Ordinary Shares but not taking into account any Class A Ordinary Shares that are issuable under the Warrants, Ms. Zhu, will hold approximately 8.32% beneficial ownership and approximately 90.08% of the aggregate voting power of our issued and outstanding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address of Muchun Zhu is No. 18-1, Tonghuai Street, Moling Street, Jiangning District, Nanjing City, Jiangsu Province, China.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170,249.72 shares of Class B Ordinary Shares owned by Beverly Holding Limited, and 36,348.32 shares of Class B Ordinary Shares owned by Eascor Holding Limited, each an entity 100% owned by Muchun Zhu.</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address of Qingyuan Wang is No. 18 Yingchun Yuan, Qinhuai District, Nanjing, Jiangsu Province, China.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address of Michael Schumann is Kranzler Eck Berlin Kurfürstendamm 22, 10719 Berlin, Germany.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The address of Dahong Li is No.93 Wuyuan Road, Xuhui District, Shanghai, China.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The address of Yuanmei Ma is 727 Cypress Hills Drive, Encinitas, California, U.S.A. 92024.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registered address of Brilliant Cheer Limited is Vistra Corporate Services Centre, Wickhams Cay II, Road Town, Tortola, VG1110,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Each of Brilliant Cheer Limited and Three Star Shipping Cooperation is 100% owned by Jun Li, whose address is 7 Bishan Street, 15 #17-08 Sky Habitat, Singapore 573908.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The registered address of Three Star Shipping Cooperation is Vistra Corporate Services Centre, Wickhams Cay II, Road Town, Tortola, VG1110,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The registered address of Eagle Dragon Limited is Vistra Corporate Services Centre, Wickhams Cay II, Road Town, Tortola, VG1110, British Virgin Islands. Eagle Dragon Limited is 100% owned by Shoucheng Lei, whose address is Room 1702-1703, Tower A, Xiaoyun Centre, No. 15 Xiaguangli Chaoyang District, Beijing 100016, China.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The registered address of Golden Maple Holdings is Vistra Corporate Services Centre, Wickhams Cay II, Road Town, Tortola, VG1110, British Virgin Islands. Golden Maple Holdings is 100% owned by Luan Chen, whose address is Golden Maple Holdings is House 38, Kovan Rise, #12-19, Singapore 544727.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The registered address of Beverly Holding Limited is Sea Meadow House, P.O. Box 116, Road Town, Tortola,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The registered address of Eascor Holding Limited is Sea Meadow House, P.O. Box 116, Road Town, Tortola, British Virgin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
      <w:bookmarkEnd w:id="16"/>
      <w:r>
        <w:rPr>
          <w:rFonts w:ascii="Times New Roman PS Std;serif" w:hAnsi="Times New Roman PS Std;serif"/>
          <w:b/>
          <w:i w:val="false"/>
          <w:caps w:val="false"/>
          <w:smallCaps w:val="false"/>
          <w:sz w:val="20"/>
        </w:rPr>
        <w:t xml:space="preserve">RELATED PARTY TRANSACTIONS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records transactions with various related parties. These related parties’ balances as of December 31, 2025 and June 30, 2025 and 2024 and transactions for the six months ended December 31, 2025 and 2024 and for the years ended June 30, 2025, 2024 and 2023 are identified as follows: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Related parties with transactions and related party relationships</w:t>
      </w:r>
    </w:p>
    <w:tbl>
      <w:tblPr>
        <w:tblW w:w="10205" w:type="dxa"/>
        <w:jc w:val="left"/>
        <w:tblInd w:w="0" w:type="dxa"/>
        <w:tblLayout w:type="fixed"/>
        <w:tblCellMar>
          <w:top w:w="0" w:type="dxa"/>
          <w:left w:w="0" w:type="dxa"/>
          <w:bottom w:w="0" w:type="dxa"/>
          <w:right w:w="0" w:type="dxa"/>
        </w:tblCellMar>
      </w:tblPr>
      <w:tblGrid>
        <w:gridCol w:w="3854"/>
        <w:gridCol w:w="146"/>
        <w:gridCol w:w="6205"/>
      </w:tblGrid>
      <w:tr>
        <w:trPr/>
        <w:tc>
          <w:tcPr>
            <w:tcW w:w="38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Party</w:t>
            </w:r>
          </w:p>
        </w:tc>
        <w:tc>
          <w:tcPr>
            <w:tcW w:w="146" w:type="dxa"/>
            <w:tcBorders/>
            <w:vAlign w:val="bottom"/>
          </w:tcPr>
          <w:p>
            <w:pPr>
              <w:pStyle w:val="TableContents"/>
              <w:bidi w:val="0"/>
              <w:spacing w:before="0" w:after="283"/>
              <w:jc w:val="left"/>
              <w:rPr/>
            </w:pPr>
            <w:r>
              <w:rPr/>
              <w:t> </w:t>
            </w:r>
          </w:p>
        </w:tc>
        <w:tc>
          <w:tcPr>
            <w:tcW w:w="62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to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Shoucheng Lei</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 Ms. Luan Chen and Mr. Jun Li, shareholders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Dong Zhang</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Mr. Jun Li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Qing Xu</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Ms. Luan Chen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Corporation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Accounts receivable-related parties</w:t>
      </w:r>
    </w:p>
    <w:tbl>
      <w:tblPr>
        <w:tblW w:w="8888" w:type="dxa"/>
        <w:jc w:val="left"/>
        <w:tblInd w:w="0" w:type="dxa"/>
        <w:tblLayout w:type="fixed"/>
        <w:tblCellMar>
          <w:top w:w="0" w:type="dxa"/>
          <w:left w:w="0" w:type="dxa"/>
          <w:bottom w:w="0" w:type="dxa"/>
          <w:right w:w="0" w:type="dxa"/>
        </w:tblCellMar>
      </w:tblPr>
      <w:tblGrid>
        <w:gridCol w:w="4126"/>
        <w:gridCol w:w="146"/>
        <w:gridCol w:w="471"/>
        <w:gridCol w:w="1164"/>
        <w:gridCol w:w="146"/>
        <w:gridCol w:w="286"/>
        <w:gridCol w:w="1126"/>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bidi w:val="0"/>
              <w:spacing w:before="0" w:after="283"/>
              <w:jc w:val="left"/>
              <w:rPr/>
            </w:pPr>
            <w:r>
              <w:rPr/>
              <w:t> </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50,125</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Limited(2)</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143,277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Limited(2)</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Limited(2)</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86,817</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136,942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represented consideration for time charter accounts receivable from Topsheen Shipping Singapore Pte. Ltd, which was collected in current period.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represents the accrued management fees from related parties for vessel management services, which was partially collected in current period.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Contract liabilities-related party</w:t>
      </w:r>
    </w:p>
    <w:tbl>
      <w:tblPr>
        <w:tblW w:w="8708" w:type="dxa"/>
        <w:jc w:val="left"/>
        <w:tblInd w:w="0" w:type="dxa"/>
        <w:tblLayout w:type="fixed"/>
        <w:tblCellMar>
          <w:top w:w="0" w:type="dxa"/>
          <w:left w:w="0" w:type="dxa"/>
          <w:bottom w:w="0" w:type="dxa"/>
          <w:right w:w="0" w:type="dxa"/>
        </w:tblCellMar>
      </w:tblPr>
      <w:tblGrid>
        <w:gridCol w:w="4126"/>
        <w:gridCol w:w="146"/>
        <w:gridCol w:w="378"/>
        <w:gridCol w:w="1257"/>
        <w:gridCol w:w="146"/>
        <w:gridCol w:w="286"/>
        <w:gridCol w:w="946"/>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bidi w:val="0"/>
              <w:spacing w:before="0" w:after="283"/>
              <w:jc w:val="left"/>
              <w:rPr/>
            </w:pPr>
            <w:r>
              <w:rPr/>
              <w:t> </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497,360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213,209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represents the advance charter hire payments from Topsheen Shipping Singapore Pte. Ltd.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Due from related parties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and 2024, the balances due to related parties were as follows:</w:t>
      </w:r>
    </w:p>
    <w:tbl>
      <w:tblPr>
        <w:tblW w:w="8648" w:type="dxa"/>
        <w:jc w:val="left"/>
        <w:tblInd w:w="0" w:type="dxa"/>
        <w:tblLayout w:type="fixed"/>
        <w:tblCellMar>
          <w:top w:w="0" w:type="dxa"/>
          <w:left w:w="0" w:type="dxa"/>
          <w:bottom w:w="0" w:type="dxa"/>
          <w:right w:w="0" w:type="dxa"/>
        </w:tblCellMar>
      </w:tblPr>
      <w:tblGrid>
        <w:gridCol w:w="4066"/>
        <w:gridCol w:w="146"/>
        <w:gridCol w:w="378"/>
        <w:gridCol w:w="1257"/>
        <w:gridCol w:w="146"/>
        <w:gridCol w:w="286"/>
        <w:gridCol w:w="946"/>
        <w:gridCol w:w="146"/>
        <w:gridCol w:w="286"/>
        <w:gridCol w:w="991"/>
      </w:tblGrid>
      <w:tr>
        <w:trPr/>
        <w:tc>
          <w:tcPr>
            <w:tcW w:w="4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bidi w:val="0"/>
              <w:spacing w:before="0" w:after="283"/>
              <w:jc w:val="left"/>
              <w:rPr/>
            </w:pPr>
            <w:r>
              <w:rPr/>
              <w:t> </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71,662</w:t>
            </w:r>
          </w:p>
        </w:tc>
      </w:tr>
      <w:tr>
        <w:trPr/>
        <w:tc>
          <w:tcPr>
            <w:tcW w:w="40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412,873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331,656</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412,873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8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represents the outstanding bunker receivable from Topsheen Shipping Singapore Pte. Ltd for time charter service provided by the Group.</w:t>
      </w:r>
    </w:p>
    <w:p>
      <w:pPr>
        <w:pStyle w:val="TextBody"/>
        <w:keepNext w:val="true"/>
        <w:pageBreakBefore w:val="false"/>
        <w:widowControl/>
        <w:pBdr/>
        <w:bidi w:val="0"/>
        <w:spacing w:before="22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Due to related parties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and 2024, the balances due to related parties were as follows:</w:t>
      </w:r>
    </w:p>
    <w:tbl>
      <w:tblPr>
        <w:tblW w:w="10205" w:type="dxa"/>
        <w:jc w:val="left"/>
        <w:tblInd w:w="0" w:type="dxa"/>
        <w:tblLayout w:type="fixed"/>
        <w:tblCellMar>
          <w:top w:w="0" w:type="dxa"/>
          <w:left w:w="0" w:type="dxa"/>
          <w:bottom w:w="0" w:type="dxa"/>
          <w:right w:w="0" w:type="dxa"/>
        </w:tblCellMar>
      </w:tblPr>
      <w:tblGrid>
        <w:gridCol w:w="5030"/>
        <w:gridCol w:w="146"/>
        <w:gridCol w:w="303"/>
        <w:gridCol w:w="1324"/>
        <w:gridCol w:w="146"/>
        <w:gridCol w:w="286"/>
        <w:gridCol w:w="1246"/>
        <w:gridCol w:w="146"/>
        <w:gridCol w:w="286"/>
        <w:gridCol w:w="1292"/>
      </w:tblGrid>
      <w:tr>
        <w:trPr/>
        <w:tc>
          <w:tcPr>
            <w:tcW w:w="503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503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Limited(1)</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45,504</w:t>
            </w:r>
          </w:p>
        </w:tc>
      </w:tr>
      <w:tr>
        <w:trPr/>
        <w:tc>
          <w:tcPr>
            <w:tcW w:w="50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Ltd(1)</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17,683</w:t>
            </w:r>
          </w:p>
        </w:tc>
      </w:tr>
      <w:tr>
        <w:trPr/>
        <w:tc>
          <w:tcPr>
            <w:tcW w:w="50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shareholder and affiliate(2)</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21,476,946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24,490,720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24,776,946</w:t>
            </w:r>
          </w:p>
        </w:tc>
      </w:tr>
      <w:tr>
        <w:trPr/>
        <w:tc>
          <w:tcPr>
            <w:tcW w:w="50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r>
      <w:tr>
        <w:trPr/>
        <w:tc>
          <w:tcPr>
            <w:tcW w:w="50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21,502,619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24,851,679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8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balances mainly represented the expenses paid on behalf of the Group.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balances mainly represented non-interest-bearing loans from Mr. Shoucheng Lei and due on demand. During the six months end December 31, 2025, the Group repaid $3,000,000 of these loans to Mr. Shoucheng Lei.</w:t>
      </w:r>
    </w:p>
    <w:p>
      <w:pPr>
        <w:pStyle w:val="TextBody"/>
        <w:keepNext w:val="true"/>
        <w:pageBreakBefore w:val="false"/>
        <w:widowControl/>
        <w:pBdr/>
        <w:bidi w:val="0"/>
        <w:spacing w:before="22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Services provided to related parties</w:t>
      </w:r>
    </w:p>
    <w:tbl>
      <w:tblPr>
        <w:tblW w:w="10205" w:type="dxa"/>
        <w:jc w:val="left"/>
        <w:tblInd w:w="0" w:type="dxa"/>
        <w:tblLayout w:type="fixed"/>
        <w:tblCellMar>
          <w:top w:w="0" w:type="dxa"/>
          <w:left w:w="0" w:type="dxa"/>
          <w:bottom w:w="0" w:type="dxa"/>
          <w:right w:w="0" w:type="dxa"/>
        </w:tblCellMar>
      </w:tblPr>
      <w:tblGrid>
        <w:gridCol w:w="1672"/>
        <w:gridCol w:w="146"/>
        <w:gridCol w:w="294"/>
        <w:gridCol w:w="1285"/>
        <w:gridCol w:w="146"/>
        <w:gridCol w:w="294"/>
        <w:gridCol w:w="1285"/>
        <w:gridCol w:w="146"/>
        <w:gridCol w:w="286"/>
        <w:gridCol w:w="1246"/>
        <w:gridCol w:w="146"/>
        <w:gridCol w:w="286"/>
        <w:gridCol w:w="1246"/>
        <w:gridCol w:w="146"/>
        <w:gridCol w:w="286"/>
        <w:gridCol w:w="1295"/>
      </w:tblGrid>
      <w:tr>
        <w:trPr/>
        <w:tc>
          <w:tcPr>
            <w:tcW w:w="16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5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1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81" w:type="dxa"/>
            <w:gridSpan w:val="2"/>
            <w:tcBorders/>
            <w:vAlign w:val="bottom"/>
          </w:tcPr>
          <w:p>
            <w:pPr>
              <w:pStyle w:val="TableContents"/>
              <w:bidi w:val="0"/>
              <w:spacing w:before="0" w:after="283"/>
              <w:jc w:val="left"/>
              <w:rPr/>
            </w:pPr>
            <w:r>
              <w:rPr/>
              <w:t> </w:t>
            </w:r>
          </w:p>
        </w:tc>
      </w:tr>
      <w:tr>
        <w:trPr/>
        <w:tc>
          <w:tcPr>
            <w:tcW w:w="16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 (Time charter revenue)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9,250,107</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9,430,014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18,682,031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13,999,534</w:t>
            </w:r>
          </w:p>
        </w:tc>
      </w:tr>
      <w:tr>
        <w:trPr/>
        <w:tc>
          <w:tcPr>
            <w:tcW w:w="16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 (Vessel management services revenue)</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699,582</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690,649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1,481,220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1,565,711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2,052,046</w:t>
            </w:r>
          </w:p>
        </w:tc>
      </w:tr>
      <w:tr>
        <w:trPr/>
        <w:tc>
          <w:tcPr>
            <w:tcW w:w="16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707,132</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721,736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1,457,911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1,752,601</w:t>
            </w:r>
          </w:p>
        </w:tc>
      </w:tr>
      <w:tr>
        <w:trPr/>
        <w:tc>
          <w:tcPr>
            <w:tcW w:w="16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 (Vessel management services revenue)</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420,737</w:t>
            </w:r>
          </w:p>
        </w:tc>
      </w:tr>
      <w:tr>
        <w:trPr/>
        <w:tc>
          <w:tcPr>
            <w:tcW w:w="16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619,504</w:t>
            </w:r>
          </w:p>
        </w:tc>
      </w:tr>
      <w:tr>
        <w:trPr/>
        <w:tc>
          <w:tcPr>
            <w:tcW w:w="16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Topsheen Bulk Singapore </w:t>
              <w:br/>
              <w:t>Pte Ltd (Time charter revenue)</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617,624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485,796</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497,079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1,128,998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974,963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11,142,617</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11,957,102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23,374,497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16,314,896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18,844,422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and for the years ended June 30, 2025, 2024 and 2023, the Group provided time charter service and vessel management services to the related parties. These numbers have been included in the revenue of the condensed consolidated statements of income.</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Financing lease from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and for the years ended June 30, 2025, 2024 and 2023, the Group has financing leases from a related party.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Short-term office lease expense from a related party</w:t>
      </w:r>
    </w:p>
    <w:tbl>
      <w:tblPr>
        <w:tblW w:w="10166" w:type="dxa"/>
        <w:jc w:val="left"/>
        <w:tblInd w:w="0" w:type="dxa"/>
        <w:tblLayout w:type="fixed"/>
        <w:tblCellMar>
          <w:top w:w="0" w:type="dxa"/>
          <w:left w:w="0" w:type="dxa"/>
          <w:bottom w:w="0" w:type="dxa"/>
          <w:right w:w="0" w:type="dxa"/>
        </w:tblCellMar>
      </w:tblPr>
      <w:tblGrid>
        <w:gridCol w:w="1981"/>
        <w:gridCol w:w="146"/>
        <w:gridCol w:w="675"/>
        <w:gridCol w:w="960"/>
        <w:gridCol w:w="146"/>
        <w:gridCol w:w="420"/>
        <w:gridCol w:w="1215"/>
        <w:gridCol w:w="146"/>
        <w:gridCol w:w="355"/>
        <w:gridCol w:w="1025"/>
        <w:gridCol w:w="146"/>
        <w:gridCol w:w="355"/>
        <w:gridCol w:w="1025"/>
        <w:gridCol w:w="146"/>
        <w:gridCol w:w="352"/>
        <w:gridCol w:w="1073"/>
      </w:tblGrid>
      <w:tr>
        <w:trPr/>
        <w:tc>
          <w:tcPr>
            <w:tcW w:w="1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19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bidi w:val="0"/>
              <w:spacing w:before="0" w:after="283"/>
              <w:jc w:val="left"/>
              <w:rPr/>
            </w:pPr>
            <w:r>
              <w:rPr/>
              <w:t> </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Jun Li’s affiliate</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13,795</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27,684</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27,443</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28,571</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numbers have been included in the General and administrative expenses of the combined and consolidated statements of income.</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General and administrative expenses shared with a related party</w:t>
      </w:r>
    </w:p>
    <w:tbl>
      <w:tblPr>
        <w:tblW w:w="10205" w:type="dxa"/>
        <w:jc w:val="left"/>
        <w:tblInd w:w="0" w:type="dxa"/>
        <w:tblLayout w:type="fixed"/>
        <w:tblCellMar>
          <w:top w:w="0" w:type="dxa"/>
          <w:left w:w="0" w:type="dxa"/>
          <w:bottom w:w="0" w:type="dxa"/>
          <w:right w:w="0" w:type="dxa"/>
        </w:tblCellMar>
      </w:tblPr>
      <w:tblGrid>
        <w:gridCol w:w="2352"/>
        <w:gridCol w:w="146"/>
        <w:gridCol w:w="413"/>
        <w:gridCol w:w="1196"/>
        <w:gridCol w:w="146"/>
        <w:gridCol w:w="413"/>
        <w:gridCol w:w="1196"/>
        <w:gridCol w:w="146"/>
        <w:gridCol w:w="326"/>
        <w:gridCol w:w="942"/>
        <w:gridCol w:w="146"/>
        <w:gridCol w:w="305"/>
        <w:gridCol w:w="1012"/>
        <w:gridCol w:w="146"/>
        <w:gridCol w:w="324"/>
        <w:gridCol w:w="996"/>
      </w:tblGrid>
      <w:tr>
        <w:trPr/>
        <w:tc>
          <w:tcPr>
            <w:tcW w:w="23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c>
          <w:tcPr>
            <w:tcW w:w="146"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3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2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1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0" w:type="dxa"/>
            <w:gridSpan w:val="2"/>
            <w:tcBorders/>
            <w:vAlign w:val="bottom"/>
          </w:tcPr>
          <w:p>
            <w:pPr>
              <w:pStyle w:val="TableContents"/>
              <w:bidi w:val="0"/>
              <w:spacing w:before="0" w:after="283"/>
              <w:jc w:val="left"/>
              <w:rPr/>
            </w:pPr>
            <w:r>
              <w:rPr/>
              <w:t> </w:t>
            </w:r>
          </w:p>
        </w:tc>
      </w:tr>
      <w:tr>
        <w:trPr/>
        <w:tc>
          <w:tcPr>
            <w:tcW w:w="2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Co., Ltd</w:t>
            </w:r>
          </w:p>
        </w:tc>
        <w:tc>
          <w:tcPr>
            <w:tcW w:w="146"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57,508</w:t>
            </w:r>
          </w:p>
        </w:tc>
        <w:tc>
          <w:tcPr>
            <w:tcW w:w="146"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55,997</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92,581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108,353</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75,592</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Guarantee by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and 2024, long-term loan totaling $2,101,891, $2,908,945 and $4,505,274, respectively, was guaranteed by Topsheen Shipping Singapore Pte. Ltd., shareholders and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8"/>
      <w:bookmarkEnd w:id="17"/>
      <w:r>
        <w:rPr>
          <w:rFonts w:ascii="Times New Roman PS Std;serif" w:hAnsi="Times New Roman PS Std;serif"/>
          <w:b/>
          <w:i w:val="false"/>
          <w:caps w:val="false"/>
          <w:smallCaps w:val="false"/>
          <w:sz w:val="20"/>
        </w:rPr>
        <w:t xml:space="preserve">DESCRIPTION OF SHARE CAPITAL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Islands exempted company and its affairs are governed by its memorandum and articles of association, as amended from time to time, and the Companies Act (As Revised) of the Cayman Islands, which we refer to as the Companies Act below, and the common law of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Intercont’s authorized share capital is US$250,000,000.00, divided into 100,000,000,000 Ordinary Shares comprising (i) 80,000,000,000 Class A Ordinary Shares of a par value of US$0.0025 each and (ii) 20,000,000,000 Class B Ordinary Shares of a par value of US$0.0025 each.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1,437,740 Class A Ordinary Shares and 206,598.04 Class B Ordinary Shares are issued and outstanding. All of our issued and outstanding Class A Ordinary Shares and Class B Ordinary Shares are fully paid and non-assessable. All of the Intercont’s Class A Ordinary Shares to be issued in the offering will be issued as fully paid.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Intercont’s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currently governed by its third amended and restated memorandum and articles of association adopted on June 5, 2026 (the “Memorandum and Articles”). Intercont held a meeting of holder of Class A Ordinary Shares and an extraordinary general meeting on June 5, 2026 to adopt, amongst other things, the third amended and restated memorandum and articles of association (the “Amended M&amp;A”). The following are summaries of material provisions of Amended M&amp;A and of the Companies Act, insofar as they relate to the material terms of Intercont’s Class A Ordinary Shares and Class B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Objects of Intercont.    </w:t>
      </w:r>
      <w:r>
        <w:rPr>
          <w:rFonts w:ascii="Times New Roman PS Std;serif" w:hAnsi="Times New Roman PS Std;serif"/>
          <w:b w:val="false"/>
          <w:i w:val="false"/>
          <w:caps w:val="false"/>
          <w:smallCaps w:val="false"/>
          <w:sz w:val="20"/>
        </w:rPr>
        <w:t>Under Intercont’s Amended M&amp;A, the objects of Intercont are unrestricted, and Intercont is capable of exercising all the functions of a natural person of full capacity irrespective of any question of corporate benefit, as provided by section 27(2) of the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Ordinary Shares.    </w:t>
      </w:r>
      <w:r>
        <w:rPr>
          <w:rFonts w:ascii="Times New Roman PS Std;serif" w:hAnsi="Times New Roman PS Std;serif"/>
          <w:b w:val="false"/>
          <w:i w:val="false"/>
          <w:caps w:val="false"/>
          <w:smallCaps w:val="false"/>
          <w:sz w:val="20"/>
        </w:rPr>
        <w:t>Our Class A Ordinary Shares and Class B Ordinary Shares are issued in registered form, and are issued when registered in our register of members. Unless the board of directors determine or the shareholder requests a share certificate in writing from us, otherwise, each holder of our Class A Ordinary Shares or Class B Ordinary Shares will not receive a certificate in respect of such shares. Our shareholders who are non-residents of the Cayman Islands may freely hold and vote their Class A Ordinary Shares and Class B Ordinary Shares. We may not issue shares or warrants to bearer.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Every share certificate of the Company shall bear legends required by the applicable laws, including the Securities Act and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the Cayman Companies Act and our Amended M&amp;A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Cayman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Dividends.    </w:t>
      </w:r>
      <w:r>
        <w:rPr>
          <w:rFonts w:ascii="Times New Roman PS Std;serif" w:hAnsi="Times New Roman PS Std;serif"/>
          <w:b w:val="false"/>
          <w:i w:val="false"/>
          <w:caps w:val="false"/>
          <w:smallCaps w:val="false"/>
          <w:sz w:val="20"/>
        </w:rPr>
        <w:t>The holders of Intercont’s Ordinary Shares are entitled to such dividends as may be declared by Intercont’s board of directors. Intercont’s Amended M&amp;A provide that dividends may be declared and paid out of the funds of Intercont lawfully available therefor. Under the laws of the Cayman Islands, Intercont may pay a dividend out of profit or share premium account or other funds legally available for distribution; provided that in no circumstances may a dividend be paid out of Intercont’s share premium account if this would result in Intercont being unable to pay its debts as they fall due in the ordinary course of business immediately following the date on which the distribution or dividend is proposed to be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Voting Rights.    </w:t>
      </w:r>
      <w:r>
        <w:rPr>
          <w:rFonts w:ascii="Times New Roman PS Std;serif" w:hAnsi="Times New Roman PS Std;serif"/>
          <w:b w:val="false"/>
          <w:i w:val="false"/>
          <w:caps w:val="false"/>
          <w:smallCaps w:val="false"/>
          <w:sz w:val="20"/>
        </w:rPr>
        <w:t>At any general meeting, a resolution put to the vote of the meeting shall be decided on a show of hands, unless a poll (before or on the declaration of the results of the show of hands) is demanded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chairman of the meeting;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 or more shareholder(s) present in person or by proxy entitled to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current Memorandum and Articles and Amended M&amp;A provide that on a poll, every shareholder who is present in person and every person representing a shareholder by proxy shall have one vote for each Class A Ordinary Share and one hundred (100) votes for each Class B Ordinary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including but not limited to a change of name, making changes to Intercont’s memorandum and articles of association and a reduction of Intercont’s share capital. Intercont’s shareholders may, among other things, divide or consolidate their shares by ordinary 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Conversion Rights.    </w:t>
      </w:r>
      <w:r>
        <w:rPr>
          <w:rFonts w:ascii="Times New Roman PS Std;serif" w:hAnsi="Times New Roman PS Std;serif"/>
          <w:b w:val="false"/>
          <w:i w:val="false"/>
          <w:caps w:val="false"/>
          <w:smallCaps w:val="false"/>
          <w:sz w:val="20"/>
        </w:rPr>
        <w:t>Class A Ordinary Shares are not convertible. Class B Ordinary Shares are convertible, at the option of the holder thereof, into Class A Ordinary Shares on a one-to-one basis. Subject to our Amended M&amp;A, upon any transfer or disposition of Class B Ordinary Shares by a holder thereof to any person or entity which is not an affiliate of such holder, or upon a change of ultimate beneficial ownership of any Class B Ordinary Share to any person or entity which is not an affiliate of such holder, such Class B Ordinary Shares shall be automatically and immediately converted into the same number of Class A Ordinary Shares on a one-to-one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Alteration of Share Capital.    </w:t>
      </w:r>
      <w:r>
        <w:rPr>
          <w:rFonts w:ascii="Times New Roman PS Std;serif" w:hAnsi="Times New Roman PS Std;serif"/>
          <w:b w:val="false"/>
          <w:i w:val="false"/>
          <w:caps w:val="false"/>
          <w:smallCaps w:val="false"/>
          <w:sz w:val="20"/>
        </w:rPr>
        <w:t>We may from time to time by ordinary resolution of shareholders increase the share capital by such sum, to be divided into shares of such classes or series and amounts, as the resolution shall prescribe.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Cayman Companies Act, our shareholders may, by ordinary resolution: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consolidate and divide all or any of our share capital into shares of lesser or larger amount than our existing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convert all or any of our paid-up shares into stock, and reconvert that stock into paid up shares of any denomination;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cancel any shares which, at the date of the passing of that ordinary resolution, have not been taken or agreed to be taken by any person and diminish the amount of our share capital by the amount of the shares so cancelled.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Cayman Companies Act and to any rights for the time being conferred on the shareholders holding a particular class of shares, our shareholders may, by special resolution, reduce the Company’s share capital and any capital redemption reserve in any manner, authorized and with consent required by the Cayman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Meetings of Shareholders.    </w:t>
      </w:r>
      <w:r>
        <w:rPr>
          <w:rFonts w:ascii="Times New Roman PS Std;serif" w:hAnsi="Times New Roman PS Std;serif"/>
          <w:b w:val="false"/>
          <w:i w:val="false"/>
          <w:caps w:val="false"/>
          <w:smallCaps w:val="false"/>
          <w:sz w:val="20"/>
        </w:rPr>
        <w:t>As a Cayman Islands exempted company, Intercont is not obliged by the Companies Act to call shareholders’ annual general meetings under the laws of the Cayman Islands. Intercont’s Amended M&amp;A provide that Intercont may (but shall not be obliged to), in each year hold a general meeting as its annual general meeting, and shall specify the meeting as such in the notices calling it, and the annual general meeting shall be held at such time and place as may be determined by Intercont’s directors. A shareholder who is entitled to participate in any specific or general meeting of the Company, may participate by means of telephone or similar communication equipment by way of which all persons participating in such meeting can hear each other and such participation shall be deemed to constitute presence in person at the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general meetings may be convened by Intercont’s board of directors. Advance notice of not less than ten days (excluding the day service is deemed to take place as provided in the articles of association but including the day of the meeting) is required for the convening of Intercont’s annual general shareholders’ meeting (if any) and any other general meeting of Intercont’s shareholders. A quorum required for any general meeting of shareholders consists of, at the time when the meeting proceeds to business, one or more shareholders holding shares which carry in aggregate (or representing by proxy) not less than one-third of all votes attaching to issued and outstanding shares in Intercont entitled to vote at such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Intercont’s Amended M&amp;A and Memorandum and Articles provide that upon the requisition of any one or more of Intercont’s shareholders which hold not less than 10% of the paid up voting share capital of Intercont, Intercont’s board will convene an extraordinary general meeting and put the resolutions so requisitioned to a vote at such meeting. However, Intercont’s Amended M&amp;A do not provide Intercont’s shareholders with any right to put any proposals before annual general meetings or extraordinary general meetings not called by such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Transfer of Ordinary Shares.    </w:t>
      </w:r>
      <w:r>
        <w:rPr>
          <w:rFonts w:ascii="Times New Roman PS Std;serif" w:hAnsi="Times New Roman PS Std;serif"/>
          <w:b w:val="false"/>
          <w:i w:val="false"/>
          <w:caps w:val="false"/>
          <w:smallCaps w:val="false"/>
          <w:sz w:val="20"/>
        </w:rPr>
        <w:t>Subject to the restrictions set out below, any of Intercont’s shareholders may transfer all or any of his or her Ordinary Shares by an instrument of transfer in the usual or common form or any other form approved by Intercont’s board of directors. Notwithstanding the foregoing, Ordinary Shares may also be transferred in accordance with the applicable rules and regulations of the relevant stock exchange.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may, in its absolute discretion, decline to register any transfer of any ordinary share which is not fully paid up or on which Intercont has a lien. Intercont’s board of directors may also decline to register any transfer of any ordinary share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lodged with us, accompanied by the certificate for the Ordinary Shares to which it relates and such other evidence as Intercont’s board of directors may reasonably require to show the right of the transferor to make the transfer;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in respect of only one class of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properly stamped, if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a transfer to joint holders, the number of joint holders to whom the Ordinary Share is to be transferred does not exceed four;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fee of such maximum sum as the relevant stock exchange may determine to be payable or such lesser sum as Intercont’s directors may from time to time require is paid to us in respect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Intercont’s directors refuse to register a transfer they shall, within six weeks after the date on which the transfer was lodged with Intercont, send to each of the transferor and the transferee notice of such refusal.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of transfers may, on ten days’ notice being given by advertisement in such one or more newspapers, by electronic means or by other means in accordance with the rules of the relevant stock exchange, be suspended and the register closed at such times and for such periods as Intercont’s board of directors may from time to time determine; provided, however, that the registration of transfers shall not be suspended nor the register of members closed for more than 30 days in any calendar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of Class B Ordinary Shares will be subject to restrictions as mentioned in the “Conversion Rights”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w:t>
      </w:r>
      <w:r>
        <w:rPr>
          <w:rFonts w:ascii="Times New Roman PS Std;serif" w:hAnsi="Times New Roman PS Std;serif"/>
          <w:b w:val="false"/>
          <w:i w:val="false"/>
          <w:caps w:val="false"/>
          <w:smallCaps w:val="false"/>
          <w:sz w:val="20"/>
        </w:rPr>
        <w:t>If Intercont shall be wound up, the liquidator, with the sanction of an ordinary resolution or any other sanction required by the Companies Act, divide amongst of Intercont in specie the whole or any part of the assets of Intercont (whether they shall consist of property of the same kind or not) and may, for such purpose set such value as he deems fair upon any property to be divided as aforesaid and may determine how such division shall be carried out between the shareholders or different class or series of shares. The liquidator may, with the like sanction, vest the whole or any part of such assets in trustees upon such trusts for the benefit of the contributories as the liquidator, with the like sanction shall think fit, but so that no shareholder shall be compelled to accept any shares or other securities whereon there is any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Calls on Shares and Forfeiture of Shares.    </w:t>
      </w:r>
      <w:r>
        <w:rPr>
          <w:rFonts w:ascii="Times New Roman PS Std;serif" w:hAnsi="Times New Roman PS Std;serif"/>
          <w:b w:val="false"/>
          <w:i w:val="false"/>
          <w:caps w:val="false"/>
          <w:smallCaps w:val="false"/>
          <w:sz w:val="20"/>
        </w:rPr>
        <w:t>Intercont’s board of directors may from time to time make calls upon shareholders for any amounts unpaid on their shares and each shareholder shall (subject to receiving at least 14 days’ notice specifying the time and times of payment) pay to Intercont at the time or times so specified the amount called on such shares. If a shareholder fails to pay any call or instalment of a call in respect of partly paid shares on the day appointed for payment, Intercont’s board of directors may, at any time thereafter during such time as any part of such call or instalment remains unpaid, serve a notice on him requiring payment of so much of the call or instalment as is unpaid, together with any interest which may have accrued, naming a further day (not earlier than the expiration of 14 days from the date of the notice) on or before which the payment required by the notice is to be made and specifying that in the event of non-payment at or before the time appointed the shares in respect of which the call was made will be liable to be forfeited. If the requirement of any such notices as aforesaid are not complied with, any share in respect of which the notice has been given may, at any time thereafter before the payment required by notice has been made, be forfeited by a resolution of Intercont’s board of directors to that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Repurchase and Surrender of Shares.    </w:t>
      </w:r>
      <w:r>
        <w:rPr>
          <w:rFonts w:ascii="Times New Roman PS Std;serif" w:hAnsi="Times New Roman PS Std;serif"/>
          <w:b w:val="false"/>
          <w:i w:val="false"/>
          <w:caps w:val="false"/>
          <w:smallCaps w:val="false"/>
          <w:sz w:val="20"/>
        </w:rPr>
        <w:t>Subject to the Companies Act and Intercont’s Amended M&amp;A</w:t>
      </w:r>
      <w:r>
        <w:rPr>
          <w:rFonts w:ascii="Times New Roman PS Std;serif" w:hAnsi="Times New Roman PS Std;serif"/>
          <w:b w:val="false"/>
          <w:i/>
          <w:caps w:val="false"/>
          <w:smallCaps w:val="false"/>
          <w:sz w:val="20"/>
        </w:rPr>
        <w:t>, </w:t>
      </w:r>
      <w:r>
        <w:rPr>
          <w:rFonts w:ascii="Times New Roman PS Std;serif" w:hAnsi="Times New Roman PS Std;serif"/>
          <w:b w:val="false"/>
          <w:i w:val="false"/>
          <w:caps w:val="false"/>
          <w:smallCaps w:val="false"/>
          <w:sz w:val="20"/>
        </w:rPr>
        <w:t>Intercont may issue shares on terms that such shares are subject to redemption, at Intercont’s option or at the option of the holders of these shares, on such terms and in such manner as may be determined by either its board of directors or by special resolutions. Intercont may also repurchase any of its shares on such terms and in such manner as have been approved by its board of directors or by ordinary resolutions, or are otherwise authorized by Intercont’s Amended M&amp;A. Under the Companies Act, the redemption or repurchase of any share may be paid out of Intercont’s profits, share premium account or out of the proceeds of a new issue of shares made for the purpose of such redemption or repurchase, or out of capital if Intercont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Intercont may accept the surrender of any fully paid share for no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Variations of Rights of Shares.    </w:t>
      </w:r>
      <w:r>
        <w:rPr>
          <w:rFonts w:ascii="Times New Roman PS Std;serif" w:hAnsi="Times New Roman PS Std;serif"/>
          <w:b w:val="false"/>
          <w:i w:val="false"/>
          <w:caps w:val="false"/>
          <w:smallCaps w:val="false"/>
          <w:sz w:val="20"/>
        </w:rPr>
        <w:t xml:space="preserve">Whenever the capital of Intercont is divided into different classes the rights attached to any such class may, subject to any rights or restrictions for the time being attached to any class and the articles of association of the Company, only be materially adversely varied with the consent in writing of the holders of two-thirds of the issued shares of that class or series, or with the sanction of a resolution passed by a majority of two-thirds of the holders of shares of the class or series present in person or by proxy and entitled to vote at a separate meeting of the holders of the shares of the class or series. The special rights conferred upon the holders of the shares of any class issued with preferred or other rights shall not, unless otherwise expressly provided by the terms of issue of the shares of that class, be deemed to be materially varied by the creation, allotment or issue of further shares ranking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xml:space="preserve"> therewith or subsequent to them or the redemption or purchase of any share of any class by the Company. The rights attached to or otherwise conferred upon the holders of the shares of any class shall not be deemed to be materially adversely varied by the creation or issue of shares with preferred or other rights in accordance with the Amended M&amp;A.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Issuance of Additional Shares.    </w:t>
      </w:r>
      <w:r>
        <w:rPr>
          <w:rFonts w:ascii="Times New Roman PS Std;serif" w:hAnsi="Times New Roman PS Std;serif"/>
          <w:b w:val="false"/>
          <w:i w:val="false"/>
          <w:caps w:val="false"/>
          <w:smallCaps w:val="false"/>
          <w:sz w:val="20"/>
        </w:rPr>
        <w:t>Intercont’s Amended M&amp;A authorizes its board of directors to issue additional Ordinary Shares from time to time as its board of directors shall determine, to the extent of available authorized but unissued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Amended M&amp;A also authorizes its board of directors to establish from time to time one or more series of preference shares and to determine, with respect to any series of preference shares, the terms and rights of that series.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may issue preference shares without action by Intercont’s shareholders to the extent of available authorized but unissued shares. Issuance of these shares may dilute the voting power of holders of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shall not issue shares to bearer.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Inspection of Books and Records.    </w:t>
      </w:r>
      <w:r>
        <w:rPr>
          <w:rFonts w:ascii="Times New Roman PS Std;serif" w:hAnsi="Times New Roman PS Std;serif"/>
          <w:b w:val="false"/>
          <w:i w:val="false"/>
          <w:caps w:val="false"/>
          <w:smallCaps w:val="false"/>
          <w:sz w:val="20"/>
        </w:rPr>
        <w:t>Holders of Intercont’s Ordinary Shares will have no general right under Cayman Islands law to inspect or obtain copies of Intercont’s list of shareholders or its corporate records. Intercont’s Amended M&amp;A provide that no shareholder (not being a director) shall have any right of inspecting any account or book or document of Intercont except as conferred by law, the stock exchange rules or authorized by the directors or by ordinary resolution.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Anti-Takeover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Provisions.    </w:t>
      </w:r>
      <w:r>
        <w:rPr>
          <w:rFonts w:ascii="Times New Roman PS Std;serif" w:hAnsi="Times New Roman PS Std;serif"/>
          <w:b w:val="false"/>
          <w:i w:val="false"/>
          <w:caps w:val="false"/>
          <w:smallCaps w:val="false"/>
          <w:sz w:val="20"/>
        </w:rPr>
        <w:t>Some provisions of Intercont’s Amended M&amp;A may discourage, delay or prevent a change of control of Intercont or management that shareholders may consider favorable, including provisions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Intercont’s board of directors to issue preference shares in one or more series and to designate the price, rights, preferences, privileges and restrictions of such preference shares without any further vote or action by Intercont’s shareholders;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the ability of shareholders to requisition and convene general meetings of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under Cayman Islands law, Intercont’s directors may only exercise the rights and powers granted to them under its memorandum and articles of association for a proper purpose and for what they believe in good faith to be in the best interests of Intercont.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Exempted Company.    </w:t>
      </w:r>
      <w:r>
        <w:rPr>
          <w:rFonts w:ascii="Times New Roman PS Std;serif" w:hAnsi="Times New Roman PS Std;serif"/>
          <w:b w:val="false"/>
          <w:i w:val="false"/>
          <w:caps w:val="false"/>
          <w:smallCaps w:val="false"/>
          <w:sz w:val="20"/>
        </w:rPr>
        <w:t>Intercont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does not have to file an annual return of its shareholders with the Registrar of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not required to open its register of members for inspection;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does not have to hold an annual general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issue shares with no par value;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obtain an undertaking against the imposition of any future taxation (such undertakings are usually given for 20 years in the first instance);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by way of continuation in another jurisdiction and be deregistered in the Cayman Islands;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as an exempted limited duration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as a segregated portfolio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Mergers and Similar Arrangements.    </w:t>
      </w:r>
      <w:r>
        <w:rPr>
          <w:rFonts w:ascii="Times New Roman PS Std;serif" w:hAnsi="Times New Roman PS Std;serif"/>
          <w:b w:val="false"/>
          <w:i w:val="false"/>
          <w:caps w:val="false"/>
          <w:smallCaps w:val="false"/>
          <w:sz w:val="20"/>
        </w:rPr>
        <w:t xml:space="preserve">The Companies Act permits mergers and combinations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“combination” means the combination of two or more constituent companies into a consolidated company and the vesting of the undertaking, property and liabilities of such companies to the consolidated company. In order to effect such a merger or combination, the directors of each constituent company must approve a written plan of merger or combination,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certificate of good standing, a director’s declaration as to the solvency of the consolidated or surviving company and other specified content as required by the Companies Act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undertaking that a copy of the certificate of merger or combination will be given to the members and creditors of each constituent company and that notification of the merger or combination will be published in the Cayman Islands Gazette. Court approval is not required for a merger or consolidation which is effected in compliance with these statutory procedures.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in certain limited circumstances, a shareholder of a Cayman constituent company who dissents from the merger or combination is entitled to payment of the fair value of his shares (which, if not agreed between the parties, will be determined by the Cayman Islands court) upon dissenting to the merger or combination,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combination is void or unlawful.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 from the statutory provisions relating to mergers and combinations, the Companies Act also contains statutory provisions that facilitate the reconstruction and amalgamation of companies by way of schemes of arrangement, provided that the arrangement is approved by seventy-five per cent in value of the members or class of members, as the case may be, with whom the arrangement is to be made and a majority in number of the creditors or each class of creditors with whom the arrangement is to be made, and who must in addition represent seventy-five per cent in value of the creditors or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statutory provisions as to the required majority vote have been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such that may be reasonably approved by an intelligent and honest man of that class acting in respect of his interest;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not one that would more properly be sanctioned under some other provision of the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Shareholders’ Suits.    </w:t>
      </w:r>
      <w:r>
        <w:rPr>
          <w:rFonts w:ascii="Times New Roman PS Std;serif" w:hAnsi="Times New Roman PS Std;serif"/>
          <w:b w:val="false"/>
          <w:i w:val="false"/>
          <w:caps w:val="false"/>
          <w:smallCaps w:val="false"/>
          <w:sz w:val="20"/>
        </w:rPr>
        <w:t>In principle, Intercont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 PS Std;serif" w:hAnsi="Times New Roman PS Std;serif"/>
          <w:b w:val="false"/>
          <w:i/>
          <w:caps w:val="false"/>
          <w:smallCaps w:val="false"/>
          <w:sz w:val="20"/>
        </w:rPr>
        <w:t>Foss v. Harbottle</w:t>
      </w:r>
      <w:r>
        <w:rPr>
          <w:rFonts w:ascii="Times New Roman PS Std;serif" w:hAnsi="Times New Roman PS Std;serif"/>
          <w:b w:val="false"/>
          <w:i w:val="false"/>
          <w:caps w:val="false"/>
          <w:smallCaps w:val="false"/>
          <w:sz w:val="20"/>
        </w:rPr>
        <w:t> and the exceptions thereto) so that a non-controlling shareholder may be permitted to commence a class action against or derivative actions in the name of the company to challenge actions where: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acts or proposes to act illegally or ultra vires;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act complained of, although not ultra vires, could only be effected duly if authorized by more than the number of votes which have actually been obtained;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who control the company are perpetrating a “fraud on the minority.”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Indemnification of Directors and Executive Officers and Limitation of Liability.    </w:t>
      </w:r>
      <w:r>
        <w:rPr>
          <w:rFonts w:ascii="Times New Roman PS Std;serif" w:hAnsi="Times New Roman PS Std;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Intercont’s memorandum and articles of association provide that that Intercont shall indemnify its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Intercont’s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Intercont or its affairs in any court whether in the Cayman Islands or elsewhere. This standard of conduct is generally the same as permitted under the Delaware General Corporation Law for a Delaware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Intercont has entered into indemnification agreements with Intercont’s directors and executive officers that provide such persons with additional indemnification beyond that provided in Intercont’s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Intercont’s directors, officers or persons controlling us under the foregoing provisions, Intercont has been informed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Directors’ Fiduciary Duties.    </w:t>
      </w: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 Action by Written Resolution.    </w:t>
      </w:r>
      <w:r>
        <w:rPr>
          <w:rFonts w:ascii="Times New Roman PS Std;serif" w:hAnsi="Times New Roman PS Std;serif"/>
          <w:b w:val="false"/>
          <w:i w:val="false"/>
          <w:caps w:val="false"/>
          <w:smallCaps w:val="false"/>
          <w:sz w:val="20"/>
        </w:rPr>
        <w:t>Under the Delaware General Corporation Law (“DGCL”), a corporation may eliminate the right of shareholders to act by written resolution by amendment to its certificate of incorporation. Cayman Islands law permits us to eliminate the right of shareholders to act by written consent and Intercont’s amended and restated articles of association provide that any action required or permitted to be taken at any general meetings may be taken upon the vote of shareholders at a general meeting duly noticed and convened in accordance with Intercont’s amended and restated articles of association and may be taken by a unanimous written consent signed by or on behalf of each shareholder who would have been entitled to vote on such matter at a general meeting without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 Proposals.    </w:t>
      </w:r>
      <w:r>
        <w:rPr>
          <w:rFonts w:ascii="Times New Roman PS Std;serif" w:hAnsi="Times New Roman PS Std;serif"/>
          <w:b w:val="false"/>
          <w:i w:val="false"/>
          <w:caps w:val="false"/>
          <w:smallCaps w:val="false"/>
          <w:sz w:val="20"/>
        </w:rPr>
        <w:t>Under the DGCL,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laws provide shareholders with only limited rights to requisition a general meeting and do not provide shareholders with any right to put any proposal before a general meeting. However, these rights may be provided in a company’s articles of association. Intercont’s amended and restated articles of association allow Intercont’s shareholders holding shares which carry in aggregate not less than 10% of the paid up voting share capital of the Company to requisition a general meeting of Intercont’s shareholders, in which case Intercont’s board is obliged to convene an extraordinary general meeting and to put the resolutions so requisitioned to a vote at such meeting. Other than this right to requisition a shareholders’ meeting, Intercont’s amended and restated articles of association do not provide Intercont’s shareholders with any other right to put proposals before annual general meetings or extraordinary general meetings. As an exempted Cayman Islands company, Intercont is not obliged by laws of the Cayman Islands to call shareholders’ annual general meetings.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Cumulative Voting.    </w:t>
      </w:r>
      <w:r>
        <w:rPr>
          <w:rFonts w:ascii="Times New Roman PS Std;serif" w:hAnsi="Times New Roman PS Std;serif"/>
          <w:b w:val="false"/>
          <w:i w:val="false"/>
          <w:caps w:val="false"/>
          <w:smallCaps w:val="false"/>
          <w:sz w:val="20"/>
        </w:rPr>
        <w:t>Under the DGCL,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Intercont’s amended and restated articles of association do not provide for cumulative voting. As a result, Intercont’s shareholders are not afforded any less protections or rights on this issue than shareholders of a Delaware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Removal of Directors.    </w:t>
      </w:r>
      <w:r>
        <w:rPr>
          <w:rFonts w:ascii="Times New Roman PS Std;serif" w:hAnsi="Times New Roman PS Std;serif"/>
          <w:b w:val="false"/>
          <w:i w:val="false"/>
          <w:caps w:val="false"/>
          <w:smallCaps w:val="false"/>
          <w:sz w:val="20"/>
        </w:rPr>
        <w:t>Under the DGCL, a director of a corporation with a classified board may be removed only for cause with the approval of a majority of the outstanding shares entitled to vote, unless the certificate of incorporation provides otherwise. Under Intercont’s amended and restated articles of association, subject to certain restrictions as contained therein, directors may be removed with or without cause, by an ordinary resolution of Intercont’s shareholders. Under Intercont’s amended and restated articles of association, a director’s office shall be vacated if the director (i) becomes bankrupt makes any arrangement or composition with his creditors; (ii) is found to be or becomes of unsound mind or dies; (iii) resigns his office by notice in writing to the company; (iv) without special leave of absence from Intercont’s board of directors, is absent from three consecutive meetings of the board and the board resolves that his office be vacated; (v) is prohibited by law from being a director or; (vi) is removed from office by ordinary resolutions.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Transactions with Interested Shareholders.    </w:t>
      </w:r>
      <w:r>
        <w:rPr>
          <w:rFonts w:ascii="Times New Roman PS Std;serif" w:hAnsi="Times New Roman PS Std;serif"/>
          <w:b w:val="false"/>
          <w:i w:val="false"/>
          <w:caps w:val="false"/>
          <w:smallCaps w:val="false"/>
          <w:sz w:val="20"/>
        </w:rPr>
        <w:t>The DGCL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has no comparable statute. As a result, Intercont cannot avail itself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Dissolution; Winding up.    </w:t>
      </w:r>
      <w:r>
        <w:rPr>
          <w:rFonts w:ascii="Times New Roman PS Std;serif" w:hAnsi="Times New Roman PS Std;serif"/>
          <w:b w:val="false"/>
          <w:i w:val="false"/>
          <w:caps w:val="false"/>
          <w:smallCaps w:val="false"/>
          <w:sz w:val="20"/>
        </w:rPr>
        <w:t>Under the DGCL,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a company may be wound up by either an order of the courts of the Cayman Islands or voluntarily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Variation of Rights of Shares.    </w:t>
      </w:r>
      <w:r>
        <w:rPr>
          <w:rFonts w:ascii="Times New Roman PS Std;serif" w:hAnsi="Times New Roman PS Std;serif"/>
          <w:b w:val="false"/>
          <w:i w:val="false"/>
          <w:caps w:val="false"/>
          <w:smallCaps w:val="false"/>
          <w:sz w:val="20"/>
        </w:rPr>
        <w:t>Under the DGCL, a corporation may vary the rights of a class of shares with the approval of a majority of the outstanding shares of such class, unless the certificate of incorporation provides otherwise. Under Intercont’s amended and restated articles of association, if Intercont’s share capital is divided into more than one class of shares, the rights attached to any such class may only be varied with the consent in writing of the holders of two-thirds of the issued shares of that class or series, or with the sanction of a resolution passed by at least a two-thirds majority of the holders of shares of the class or series present in person or by proxy and entitled to vote at a separate meeting of the holders of the shares of the class or series.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Governing Documents.    </w:t>
      </w:r>
      <w:r>
        <w:rPr>
          <w:rFonts w:ascii="Times New Roman PS Std;serif" w:hAnsi="Times New Roman PS Std;serif"/>
          <w:b w:val="false"/>
          <w:i w:val="false"/>
          <w:caps w:val="false"/>
          <w:smallCaps w:val="false"/>
          <w:sz w:val="20"/>
        </w:rPr>
        <w:t>Under the DGCL, a corporation’s governing documents may be amended with the approval of a majority of the outstanding shares entitled to vote, unless the certificate of incorporation provides otherwise. Under Cayman Islands law, Intercont’s memorandum and articles of association may only be amended with a special resolution of Intercont’s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Rights of Non-resident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or Foreign Shareholders.    </w:t>
      </w:r>
      <w:r>
        <w:rPr>
          <w:rFonts w:ascii="Times New Roman PS Std;serif" w:hAnsi="Times New Roman PS Std;serif"/>
          <w:b w:val="false"/>
          <w:i w:val="false"/>
          <w:caps w:val="false"/>
          <w:smallCaps w:val="false"/>
          <w:sz w:val="20"/>
        </w:rPr>
        <w:t>There are no limitations imposed by Intercont’s memorandum and articles of association on the rights of non-resident or foreign shareholders to hold or exercise voting rights on Intercont’s shares. In addition, there are no provisions in Intercont’s memorandum and articles of association governing the ownership threshold above which shareholder ownership must be disclosed.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Registrar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registrar for Intercont’s Ordinary Shares is Transhare Corporation. The transfer agent and registrar’s address is Bayside Center 1, 17755 US Highway 19 N, Suite 140, Clearwater FL 33764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7"/>
      <w:bookmarkEnd w:id="18"/>
      <w:r>
        <w:rPr>
          <w:rFonts w:ascii="Times New Roman PS Std;serif" w:hAnsi="Times New Roman PS Std;serif"/>
          <w:b/>
          <w:i w:val="false"/>
          <w:caps w:val="false"/>
          <w:smallCaps w:val="false"/>
          <w:sz w:val="20"/>
        </w:rPr>
        <w:t xml:space="preserve">SHARES ELIGIBLE FOR FUTURE SALE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we will have 9,437,740 Class A Ordinary Shares issued. In addition, for each Class A Ordinary Share sold in this offering, one (1) additional Class A Ordinary Shares will be issuable upon exercise of each Warrant issued in connection with each Class A Ordinary Share sold or two (2) additional Class A Ordinary Shares will be issuable under each Warrant upon exercise at the zero exercise price. All of the Class A Ordinary Shares sold in this Offering will be freely transferable by persons other than by our “affiliates” without restriction or further registration under the Securities Act. Sales of substantial amounts of our Class A Ordinary Shares in the public market could adversely affect prevailing market prices of our Class A Ordinary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144 as currently in effect, a person (or persons whose shares are aggregated) who at the time of a sale is not, and has not been during the three months preceding the sale, an affiliate of ours and has beneficially owned our restricted securities for at least six months is entitled to sell the restricted securities without registration under the Securities Act, subject to the availability of current public information about us, and will be entitled to sell restricted securities beneficially owned for at least one year without restriction. Persons who are our affiliates (including persons beneficially owning 10% or more of our outstanding shares) and have beneficially owned our restricted securities for at least six months may sell within any three-month period a number of restricted securities that does not exceed the greater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then outstanding ordinary shares of the same class;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ordinary shares of the same class on the Nasdaq Global Market during the four calendar weeks preceding the date on which notice of the sale on Form 144 is filed with the SEC.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sales are also subject to manner-of-sale provisions, notice requirements and the availability of current public information about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90 days after we became a reporting company, persons other than affiliates who purchased ordinary shares under a written compensatory plan or other written agreement executed prior to the completion of this offering may be entitled to sell such shares in the United States in reliance on Rule 701 under the Securities Act, or Rule 701. Rule 701 permits affiliates to sell their Rule 701 shares under Rule 144 without complying with the holding period requirements of Rule 144.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 if 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 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Regulation S provides generally that sales made in offshore transactions are not subject to the registration or prospectus-delivery requirements of the Securities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Plan of Distribution —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6"/>
      <w:bookmarkEnd w:id="19"/>
      <w:r>
        <w:rPr>
          <w:rFonts w:ascii="Times New Roman PS Std;serif" w:hAnsi="Times New Roman PS Std;serif"/>
          <w:b/>
          <w:i w:val="false"/>
          <w:caps w:val="false"/>
          <w:smallCaps w:val="false"/>
          <w:sz w:val="20"/>
        </w:rPr>
        <w:t xml:space="preserve">DESCRIPTION OF SECURITIES WE ARE OFFERING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offering in a best-efforts offering the Units at the assumed public offering price of $0.79 per Unit. The initial public offering price per Unit in the Offering will be determined by us based on negotiations with the placement agent on behalf of the prospective investors in the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Unit consists of one Class A Ordinary Share and one Warrant. The Units have no stand-alone rights and will not be certificated or issued as stand-alone securities. The Class A Ordinary Shares can be purchased in this offering only with the accompanying Warrants as part of the Units, but the component parts of the Units will be immediately separable and issued separately in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terms and provisions of our Class A Ordinary Shares and each other class of our securities which qualifies or limits our Class A Ordinary Shares are described under the caption “</w:t>
      </w:r>
      <w:r>
        <w:rPr>
          <w:rFonts w:ascii="Times New Roman PS Std;serif" w:hAnsi="Times New Roman PS Std;serif"/>
          <w:b w:val="false"/>
          <w:i/>
          <w:caps w:val="false"/>
          <w:smallCaps w:val="false"/>
          <w:sz w:val="20"/>
        </w:rPr>
        <w:t>Description of Share Capital</w:t>
      </w:r>
      <w:r>
        <w:rPr>
          <w:rFonts w:ascii="Times New Roman PS Std;serif" w:hAnsi="Times New Roman PS Std;serif"/>
          <w:b w:val="false"/>
          <w:i w:val="false"/>
          <w:caps w:val="false"/>
          <w:smallCaps w:val="false"/>
          <w:sz w:val="20"/>
        </w:rPr>
        <w:t>”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offered hereby will be issued in the form filed as an exhibit to the registration statement of which this prospectus is a part and the following summary is not complete and is subject to and qualified in its entirety by those filed exhibits.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Prospective investors should carefully review the form of the Warrant for a complete description of the terms and conditions applicable to the Warrant.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Exercise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assumed initial exercise price per Class A Ordinary Share purchasable upon exercise of the Warrant is $0.869 per share. The exercise price of the Warrant was determined based on negotiations with the placement agent on behalf of the prospective investors in this offering. The exercise price and number of Class A Ordinary Shares issuable upon exercise are subject to appropriate adjustment in the event of share dividends, share splits, share combinations, reorganizations or similar events affecting our Class A Ordinary Shares. The initial exercise price of $0.869 for each of the Warrants was determined at 110% of the assumed public offering price of $0.79 per Unit. The exercise price may be subject to adjustments as described in the Warrant. Such adjustments occur in the following circumstances: (i) if the Company effects any share splits, combinations, reclassifications, or share dividends, the exercise price may be adjusted proportionately; and (ii) in the event of certain corporate transactions such as mergers or reorganizations, the exercise price may be adjusted to reflect the consideration received by holders of Class A Ordinary Shares in the transaction.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Exercisability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Warrant is exercisable at the option of the holder at any time on or after the issuance date until six month of the issuance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Warrant will be exercisable, at the option of each holder, in whole or in part, by delivering to us a duly executed exercise notice accompanied by payment in full of the exercise price in immediately available funds for the number of shares of our Class A Ordinary Shares purchased upon such exercise (except in the case of a cashless exercise or zero exercise price option as discussed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may not exercise any portion of the Warrant to the extent that the holder (together with its affiliates) would beneficially own more than 4.99% (or, at the election of the holder, 9.99%) of the outstanding Class A Ordinary Shares immediately after exercise. However, upon notice from the holder to us, the holder may decrease or increase the holder’s beneficial ownership limitation, which may not exceed 9.99% of the number of outstanding Class A Ordinary Shares immediately after giving effect to the exercise, as such percentage ownership is determined in accordance with the terms of the Warrants, provided that any increase in the beneficial ownership limitation will not take effect until 61 days following notice to 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Cashless Exercise and Zero Exercise Price Option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and only if at the time of any exercise of the Warrant, there is no effective registration statement registering, or the prospectus contained therein is not available for the issuance of the Class A Ordinary Shares underlying the Warrants to the holder, in lieu of making the cash payment otherwise contemplated to be made to us upon such exercise in payment of the aggregate exercise price, the holder may elect instead to receive upon such exercise (either in whole or in part) the number of shares of Class A Ordinary Shares equal to the quotient obtained by dividing [(A-B) (X)] by (A), where (A) = trading price formulas determined under the Warrants; (B) = the exercise price of the Warrants; and (X) = the number of warrant shares that would be issuable upon exercise of such Warrants by means of a cash exercise rather than a cashless exercise. Subject to customary adjustments for share dividends, splits or other changes in share capital, the maximum number of Class A Ordinary Shares issuable upon cashless exercise of the Warrants is 8,000,000.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the Warrants may also effect an exercise at a zero exercise price (the “zero exercise price option”) to receive two (2) Class A Ordinary Shares under each Warrant at any time while the Warrants are outstanding. The aggregate number of Class A Ordinary Shares issuable in such zero exercise price option pursuant is up to 16,000,000.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cash exercise at the initial exercise price of $0.869 per Class A Ordinary Share and the cashless exercise based on the same initial exercise price, the zero exercise price option allows exercise of the Warrants for no additional consideration. In addition, the number of Class A Ordinary Shares that investors will receive under the zero exercise price option will be more than such number of Class A Ordinary Shares that is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Fundamental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Fundamental Transaction, then the holders of the Warrants will be entitled to receive, upon exercise, the same kind and amount of securities, cash or property which shareholders would have received had they exercised immediately prior to such transaction. The exercise price will be appropriately adjusted to apply to such alternative consideration. If shareholders are given any choice as to the consideration to be received, holders of the Warrant will be given the same choice. We will cause any successor entity in a fundamental transaction in which we are not the survivor to assume our obligations under the Warrants and, at the holder’s option, deliver a security substantially similar to the Warrants that preserves its economic value. Additionally, at the option of holders of the Warrants, exercisable within 30 days after the fundamental transaction (or announcement date, if later), we or any successor entity shall purchase the unexercised portion of the Warrants for cash equal to its Black Scholes value (as provided in the Warrants). However, if such fundamental transaction is not within our control (including not approved by our Board), holders will only be entitled to receive the same type of consideration that is being offered to shareholders, at the Black Scholes value of the unexercised portion of the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Transferability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laws, a Warrant may be transferred at the option of the holder upon surrender of the Warrant to us together with the appropriate instruments of transfer.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Trading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established public trading market for the Warrants, and we do not intend to list the Warrants on any national securities exchange or trading system. Without a trading market, the liquidity of the Warrants will be limited. The Class A Ordinary Shares issuable upon exercise of the Warrants are currently traded on Nasdaq.</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No Rights as a Shareholder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Warrants, the Warrant does not entitle its holder to any voting rights, dividends or other rights as a shareholders of the Company prior to the exercise of the Warrant.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Waivers and Adjustments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any terms of the Warrants may be amended or waived with our written consent and the written consent of the holder.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Warrant Certificate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will be issued in certificated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5"/>
      <w:bookmarkEnd w:id="20"/>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placement agency agreement, we engaged Prime Number Capital, LLC (the “placement agent”) to act as our exclusive placement agent on a best-efforts basis in connection with this offering. The placement agent is not purchasing or selling any of the securities offered by this prospectus and is not required to arrange for the purchase or sale of any specific number or dollar amount of securities, other than to use its best efforts to arrange for the sale of such securities by us. The terms of this offering are subject to market conditions and negotiations between us, the placement agent, and prospective investors. The placement agency agreement does not give rise to any commitment by the placement agent to purchase any of our securities, and the placement agent will have no authority to bind us by virtue of the placement agency agreement. Further, the placement agent does not guarantee that it will be able to raise new capital in any prospective offering. The placement agent may engage sub-agents or selected dealers to assist with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a securities purchase agreement (“Securities Purchase Agreement”) directly with each investor in connection with this offering, and we may not sell the entire amount, or any amount, of securities offered pursuant to this prospectus. The form of securities purchase agreement will be included as an exhibit to the registration statement of which this prospectus is a part, as applicable.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deliver the Class A Ordinary Shares and Warrants included in the Units to the investors upon closing and receipt of investor funds for the purchase of the securities offered pursuant to this prospectus. There is no arrangement for funds to be received in escrow, trust or similar arrangement. We intend to complete one closing of this offering. The offering will terminate upon the completion of a single closing.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Fees and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the placement agent a commission equal to five percent (5.0%) of the aggregate gross proceeds raised in this offering, together with a non-accountable expense allowance equal to one percent (1.0%) of the gross proceeds received by the Company from this offering. We have also agreed to reimburse the placement agent for its legal fees and other out-of-pocket fees, costs and expenses incurred in connection with this offering, up to US$100,000.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commission and expenses payable by us in connection with this offering will be approximately US$650,000, which includes the placement agent’s commission, the non-accountable expense allowance, the reimbursement of the placement agent’s offering-related expenses, and other estimated offering expenses, including legal, accounting, printing and registration-related fees and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of First Refusal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period of six (6) months following the closing date of this offering, the placement agent shall have an irrevocable right of first refusal to act as lead book-running manager, lead placement agent or lead financial advisor, as applicable, with respect to at least eighty percent (80%) of the economics for any public or private offering of equity, equity-linked or debt securities, or any other financing or capital-raising transaction by the Company or any of its subsidiaries, subject to compliance with FINRA Rule 5110(g)(5)(B).</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Tail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within six (6) months after the termination or expiration of the placement agent’s engagement, the Company consummates any public or private offering of securities or other financing or capital-raising transaction with any investor that was introduced to the Company by the placement agent or “wall-crossed” by the placement agent during the term of the engagement, the placement agent will be entitled to receive the applicable placement agent fee with respect to the gross proceeds received by the Company from such investor in such transaction, subject to compliance with FINRA Rule 5110(g)(5)(B).</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this offering, each of Company’s officers, directors and certain existing shareholders of the Company’s share capital shall deliver to the placement agent an executed lock-up agreement in a form mutually agreed upon by the Company and the placement agent. Pursuant to such lock-up agreements, such parties will agree, subject to customary exceptions, not to offer, sell, contract to sell, pledge, grant any option to purchase, make any short sale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or otherwise transfer or dispose of, directly or indirectly, any Class A Ordinary Shares or any securities convertible into, exercisable for, or exchangeable for Class A Ordinary Shares, for a period of 180 days following the closing date of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Issuance and Financing Standstill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that, for a period of four (4) months following the closing date of this offering, it will not, without the prior written consent of the placement agent, directly or indirectly issue, offer, sell, contract to sell, grant any option to purchase, or otherwise dispose of any Class A Ordinary Shares or any securities convertible into, exercisable for, or exchangeable for Class A Ordinary Shares, other than securities issued pursuant to a registration statement on Form S-8 and a registration statement on Form F-3 with the prior written consent of the Placement Agent.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also agreed that, during the same four (4)-month period, it will not enter into or consummate any financing or capital-raising transaction, including any equity line of credit, equity financing, convertible bond, convertible note, other equity-linked financing, or variable rate transaction, without the prior written consent of the placement agent.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Ordinary Shares are listed on The Nasdaq Capital Market under the symbol “NCT.” There is no established public trading market for the Warrants, and we do not intend to list the Warrants on The Nasdaq Capital Market or any other securities exchange or trading market. Without an active trading market, the liquidity of the Warrants will be limited. We are also registering the Class A Ordinary Shares issuable upon exercise of the Warrants and anticipate that such Class A Ordinary Shares will trade on The Nasdaq Capital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 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placement agent may be deemed to be an underwriter within the meaning of Section 2(a)(11) of the Securities Act, and any fees received by the placement agent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or (ii) bid for or purchase any of our securities or attempt to induce any person to purchase any of our securities, other than as permitted under the Exchange Act, until it has completed its participation in the distribution.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placement agent may provide various advisory, investment banking and other services to us in the ordinary course of business, for which it may receive customary fees and commissions. However, except as disclosed in this prospectus, we have no present arrangements with the placement agent for any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placement agent against certain liabilities, including liabilities under the Securities Act. If we are unable to provide this indemnification, we will contribute to payments that the placement agent may be required to make for these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may be taken in any jurisdiction other than the United States that would permit a public offering of the securities or the possession, circulation or distribution of this prospectus in any jurisdiction where action for that purpose is required. The Class A Ordinary Shares and Warrants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solicitation is unlawful.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constitute a public offer of the Class A Ordinary Shares or Warrants, whether by way of sale or subscription, in the Cayman Islands. The Class A Ordinary Shares and Warrants have not been offered or sold, and will not be offered or sold, directly or indirectly, in the Cayman Islands.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Our securities may not be offered or sold in Hong Kong by means of any document other than (i) in circumstances which do not constitute an offer to the public within the meaning of the Companies (Winding Up and Miscellaneous Provisions) Ordinance (Cap.32, Laws of Hong Kong), or (ii) to “professional investors” within the meaning of the Securities and Futures Ordinance (Cap.571, Laws of Hong Kong) and any rules made thereunder, (iii) in circumstances which constitute an offer specified in Part 1 of the Seventeenth Schedule to the Companies (Winding Up and Miscellaneous Provisions) Ordinance (Cap.32, Laws of Hong Kong) as read with the other Parts of that Schedule, or (iv) in other circumstances which do not result in the document being a “prospectus” within the meaning of the Companies (Winding Up and Miscellaneous Provisions) Ordinance (Cap.32, Laws of Hong Kong),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securities which are or are intended to be disposed of only to persons outside Hong Kong or only to “professional investors” within the meaning of the Securities and Futures Ordinance (Cap.571, Laws of Hong Kong) and any rules made thereunder, unless the offer of the Ordinary Shares constitutes an offer specified in Part 1 of the Seventeenth Schedule to the Companies (Winding Up and Miscellaneous Provisions) Ordinance (Cap.32, Laws of Hong Kong) as read with the other Parts of that Schedule.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the People’s Republic of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circulated or distributed in the PRC, and the securities may not be offered or sold, and will not be offered or sold,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Taiwan, the Republic of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have not been and will not be registered with the Financial Supervisory Commission of Taiwan, the Republic of China,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4"/>
      <w:bookmarkEnd w:id="21"/>
      <w:r>
        <w:rPr>
          <w:rFonts w:ascii="Times New Roman PS Std;serif" w:hAnsi="Times New Roman PS Std;serif"/>
          <w:b/>
          <w:i w:val="false"/>
          <w:caps w:val="false"/>
          <w:smallCaps w:val="false"/>
          <w:sz w:val="20"/>
        </w:rPr>
        <w:t xml:space="preserve">EXPENSES RELATED TO THIS OFFERING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an itemization of the total expenses, excluding placement agent’s commission, expected to be incurred in connection with the offer and sale of our securities. Except for the SEC registration fee and the Financial Industry Regulatory Authority Inc. filing fee, all amounts are estimates.</w:t>
      </w:r>
    </w:p>
    <w:tbl>
      <w:tblPr>
        <w:tblW w:w="7004" w:type="dxa"/>
        <w:jc w:val="left"/>
        <w:tblInd w:w="0" w:type="dxa"/>
        <w:tblLayout w:type="fixed"/>
        <w:tblCellMar>
          <w:top w:w="0" w:type="dxa"/>
          <w:left w:w="0" w:type="dxa"/>
          <w:bottom w:w="0" w:type="dxa"/>
          <w:right w:w="0" w:type="dxa"/>
        </w:tblCellMar>
      </w:tblPr>
      <w:tblGrid>
        <w:gridCol w:w="5386"/>
        <w:gridCol w:w="146"/>
        <w:gridCol w:w="301"/>
        <w:gridCol w:w="1171"/>
      </w:tblGrid>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1,832.86</w:t>
            </w:r>
          </w:p>
        </w:tc>
      </w:tr>
      <w:tr>
        <w:trPr/>
        <w:tc>
          <w:tcPr>
            <w:tcW w:w="5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w:t>
            </w:r>
          </w:p>
        </w:tc>
      </w:tr>
      <w:tr>
        <w:trPr/>
        <w:tc>
          <w:tcPr>
            <w:tcW w:w="5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130,696</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r>
      <w:tr>
        <w:trPr/>
        <w:tc>
          <w:tcPr>
            <w:tcW w:w="5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Placement agent accountable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Placement agent non-accountable expense allowance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63,200</w:t>
            </w:r>
          </w:p>
        </w:tc>
      </w:tr>
      <w:tr>
        <w:trPr/>
        <w:tc>
          <w:tcPr>
            <w:tcW w:w="53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7,271.14 </w:t>
            </w:r>
          </w:p>
        </w:tc>
      </w:tr>
      <w:tr>
        <w:trPr/>
        <w:tc>
          <w:tcPr>
            <w:tcW w:w="53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334,000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bear these expenses incurred in connection with the offer and sale of the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3"/>
      <w:bookmarkEnd w:id="22"/>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being represented by Jun He Law Offices LLC with respect to certain legal matters as to United States federal securities and New York State law. The validity of the Class A Ordinary Shares offered in this offering and certain legal matters as to Cayman Islands law will be passed upon for us by Quality Law Services Ltd.. Certain legal matters as to Hong Kong law will be passed upon for us by Lawrence Chan &amp; Co. Jun He Law Offices LLC may rely upon Quality Law Services Ltd. with respect to matters governed by Cayman Islands law, and may rely upon Lawrence Chan &amp; Co. with respect to matters governed by Hong Kong law. Ye &amp; Associates, P.C. is acting as counsel to the placement agent with respect to certain legal matters as to United States federal securities law in connection with this offering.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2"/>
      <w:bookmarkEnd w:id="23"/>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as of June 30, 2025 and 2024, and for each of the three years in the period ended June 30, 2025, 2024 and 2023 included in this prospectus have been audited by UHY LLP, an independent registered public accounting firm, as stated in their report appearing herein. Such financial statements have been so included in reliance upon the report of such firm given upon the authority of such firm as experts in accounting and auditing. The office of UHY LLP is located at 1185 Avenue of the Americas, 38th Floor, New York, NY 10036.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1"/>
      <w:bookmarkEnd w:id="24"/>
      <w:r>
        <w:rPr>
          <w:rFonts w:ascii="Times New Roman PS Std;serif" w:hAnsi="Times New Roman PS Std;serif"/>
          <w:b/>
          <w:i w:val="false"/>
          <w:caps w:val="false"/>
          <w:smallCaps w:val="false"/>
          <w:sz w:val="20"/>
        </w:rPr>
        <w:t xml:space="preserve">WHERE YOU CAN FIND ADDITIONAL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F-1, including relevant exhibits and schedules under the Securities Act, covering the Class A Ordinary Shares offered by this prospectus. You should refer to our registration statements and their exhibits and schedules if you would like to find out more about us and about the Class A Ordinary Shares. This prospectus summarizes material provisions of contracts and other documents that we refer you to. Since the prospectus may not contain all the information that you may find important, you should review the full text of these documents.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statements, reports and other information so filed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that contains reports, proxy statements and other information about issuers, such as us, who file electronically with the SEC. The address of that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The information on that website is not a part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dealers,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2018"/>
      <w:bookmarkEnd w:id="25"/>
      <w:r>
        <w:rPr>
          <w:rFonts w:ascii="Times New Roman PS Std;serif" w:hAnsi="Times New Roman PS Std;serif"/>
          <w:b/>
          <w:i w:val="false"/>
          <w:caps w:val="false"/>
          <w:smallCaps w:val="false"/>
          <w:sz w:val="20"/>
        </w:rPr>
        <w:t>INDEX TO COMBINED AND CONSOLIDATED FINANCIAL STATEMENTS</w:t>
        <w:br/>
        <w:t xml:space="preserve">INTERCONT (CAYMAN) LIMITED </w:t>
      </w:r>
    </w:p>
    <w:tbl>
      <w:tblPr>
        <w:tblW w:w="10205" w:type="dxa"/>
        <w:jc w:val="left"/>
        <w:tblInd w:w="0" w:type="dxa"/>
        <w:tblLayout w:type="fixed"/>
        <w:tblCellMar>
          <w:top w:w="0" w:type="dxa"/>
          <w:left w:w="0" w:type="dxa"/>
          <w:bottom w:w="0" w:type="dxa"/>
          <w:right w:w="0" w:type="dxa"/>
        </w:tblCellMar>
      </w:tblPr>
      <w:tblGrid>
        <w:gridCol w:w="9111"/>
        <w:gridCol w:w="146"/>
        <w:gridCol w:w="948"/>
      </w:tblGrid>
      <w:tr>
        <w:trPr/>
        <w:tc>
          <w:tcPr>
            <w:tcW w:w="91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11" w:type="dxa"/>
            <w:tcBorders/>
            <w:shd w:fill="CCEEFF" w:val="clear"/>
            <w:vAlign w:val="bottom"/>
          </w:tcPr>
          <w:p>
            <w:pPr>
              <w:pStyle w:val="TableContents"/>
              <w:keepNext w:val="false"/>
              <w:widowControl/>
              <w:pBdr/>
              <w:bidi w:val="0"/>
              <w:spacing w:before="0" w:after="283"/>
              <w:ind w:left="200" w:right="0" w:hanging="200"/>
              <w:jc w:val="left"/>
              <w:rPr/>
            </w:pPr>
            <w:hyperlink w:anchor="T301">
              <w:r>
                <w:rPr>
                  <w:rStyle w:val="InternetLink"/>
                  <w:rFonts w:ascii="Times New Roman PS Std;serif" w:hAnsi="Times New Roman PS Std;serif"/>
                  <w:b w:val="false"/>
                  <w:i w:val="false"/>
                  <w:caps w:val="false"/>
                  <w:smallCaps w:val="false"/>
                  <w:sz w:val="20"/>
                </w:rPr>
                <w:t xml:space="preserve">Unaudited Condensed Consolidated Balance Sheets as of December 31, 2025 and June 30, 2025 </w:t>
              </w:r>
            </w:hyperlink>
          </w:p>
        </w:tc>
        <w:tc>
          <w:tcPr>
            <w:tcW w:w="146"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11" w:type="dxa"/>
            <w:tcBorders/>
            <w:vAlign w:val="bottom"/>
          </w:tcPr>
          <w:p>
            <w:pPr>
              <w:pStyle w:val="TableContents"/>
              <w:keepNext w:val="false"/>
              <w:widowControl/>
              <w:pBdr/>
              <w:bidi w:val="0"/>
              <w:spacing w:before="0" w:after="283"/>
              <w:ind w:left="200" w:right="0" w:hanging="200"/>
              <w:jc w:val="left"/>
              <w:rPr/>
            </w:pPr>
            <w:hyperlink w:anchor="T302">
              <w:r>
                <w:rPr>
                  <w:rStyle w:val="InternetLink"/>
                  <w:rFonts w:ascii="Times New Roman PS Std;serif" w:hAnsi="Times New Roman PS Std;serif"/>
                  <w:b w:val="false"/>
                  <w:i w:val="false"/>
                  <w:caps w:val="false"/>
                  <w:smallCaps w:val="false"/>
                  <w:sz w:val="20"/>
                </w:rPr>
                <w:t xml:space="preserve">Unaudited Condensed Consolidated Statements of Income for the Six Months Ended December 31, 2025 and 2024 </w:t>
              </w:r>
            </w:hyperlink>
          </w:p>
        </w:tc>
        <w:tc>
          <w:tcPr>
            <w:tcW w:w="146" w:type="dxa"/>
            <w:tcBorders/>
            <w:vAlign w:val="bottom"/>
          </w:tcPr>
          <w:p>
            <w:pPr>
              <w:pStyle w:val="TableContents"/>
              <w:bidi w:val="0"/>
              <w:spacing w:before="0" w:after="283"/>
              <w:jc w:val="left"/>
              <w:rPr/>
            </w:pPr>
            <w:r>
              <w:rPr/>
              <w:t> </w:t>
            </w:r>
          </w:p>
        </w:tc>
        <w:tc>
          <w:tcPr>
            <w:tcW w:w="94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11" w:type="dxa"/>
            <w:tcBorders/>
            <w:shd w:fill="CCEEFF" w:val="clear"/>
            <w:vAlign w:val="bottom"/>
          </w:tcPr>
          <w:p>
            <w:pPr>
              <w:pStyle w:val="TableContents"/>
              <w:keepNext w:val="false"/>
              <w:widowControl/>
              <w:pBdr/>
              <w:bidi w:val="0"/>
              <w:spacing w:before="0" w:after="283"/>
              <w:ind w:left="200" w:right="0" w:hanging="200"/>
              <w:jc w:val="left"/>
              <w:rPr/>
            </w:pPr>
            <w:hyperlink w:anchor="T303">
              <w:r>
                <w:rPr>
                  <w:rStyle w:val="InternetLink"/>
                  <w:rFonts w:ascii="Times New Roman PS Std;serif" w:hAnsi="Times New Roman PS Std;serif"/>
                  <w:b w:val="false"/>
                  <w:i w:val="false"/>
                  <w:caps w:val="false"/>
                  <w:smallCaps w:val="false"/>
                  <w:sz w:val="20"/>
                </w:rPr>
                <w:t xml:space="preserve">Unaudited Condensed Consolidated Statements of Changes in Shareholders’ Equity for the Six Months Ended December 31, 2025 and 2024 </w:t>
              </w:r>
            </w:hyperlink>
          </w:p>
        </w:tc>
        <w:tc>
          <w:tcPr>
            <w:tcW w:w="146"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11" w:type="dxa"/>
            <w:tcBorders/>
            <w:vAlign w:val="bottom"/>
          </w:tcPr>
          <w:p>
            <w:pPr>
              <w:pStyle w:val="TableContents"/>
              <w:keepNext w:val="false"/>
              <w:widowControl/>
              <w:pBdr/>
              <w:bidi w:val="0"/>
              <w:spacing w:before="0" w:after="283"/>
              <w:ind w:left="200" w:right="0" w:hanging="200"/>
              <w:jc w:val="left"/>
              <w:rPr/>
            </w:pPr>
            <w:hyperlink w:anchor="T304">
              <w:r>
                <w:rPr>
                  <w:rStyle w:val="InternetLink"/>
                  <w:rFonts w:ascii="Times New Roman PS Std;serif" w:hAnsi="Times New Roman PS Std;serif"/>
                  <w:b w:val="false"/>
                  <w:i w:val="false"/>
                  <w:caps w:val="false"/>
                  <w:smallCaps w:val="false"/>
                  <w:sz w:val="20"/>
                </w:rPr>
                <w:t xml:space="preserve">Unaudited Condensed Consolidated Statements of Cash Flows for the Six Months Ended December 31, 2025 and 2024 </w:t>
              </w:r>
            </w:hyperlink>
          </w:p>
        </w:tc>
        <w:tc>
          <w:tcPr>
            <w:tcW w:w="146" w:type="dxa"/>
            <w:tcBorders/>
            <w:vAlign w:val="bottom"/>
          </w:tcPr>
          <w:p>
            <w:pPr>
              <w:pStyle w:val="TableContents"/>
              <w:bidi w:val="0"/>
              <w:spacing w:before="0" w:after="283"/>
              <w:jc w:val="left"/>
              <w:rPr/>
            </w:pPr>
            <w:r>
              <w:rPr/>
              <w:t> </w:t>
            </w:r>
          </w:p>
        </w:tc>
        <w:tc>
          <w:tcPr>
            <w:tcW w:w="94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11" w:type="dxa"/>
            <w:tcBorders/>
            <w:shd w:fill="CCEEFF" w:val="clear"/>
            <w:vAlign w:val="bottom"/>
          </w:tcPr>
          <w:p>
            <w:pPr>
              <w:pStyle w:val="TableContents"/>
              <w:keepNext w:val="false"/>
              <w:widowControl/>
              <w:pBdr/>
              <w:bidi w:val="0"/>
              <w:spacing w:before="0" w:after="283"/>
              <w:ind w:left="200" w:right="0" w:hanging="200"/>
              <w:jc w:val="left"/>
              <w:rPr/>
            </w:pPr>
            <w:hyperlink w:anchor="T305">
              <w:r>
                <w:rPr>
                  <w:rStyle w:val="InternetLink"/>
                  <w:rFonts w:ascii="Times New Roman PS Std;serif" w:hAnsi="Times New Roman PS Std;serif"/>
                  <w:b w:val="false"/>
                  <w:i w:val="false"/>
                  <w:caps w:val="false"/>
                  <w:smallCaps w:val="false"/>
                  <w:sz w:val="20"/>
                </w:rPr>
                <w:t xml:space="preserve">Notes to Unaudited Condensed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 – F-28</w:t>
            </w:r>
          </w:p>
        </w:tc>
      </w:tr>
    </w:tbl>
    <w:tbl>
      <w:tblPr>
        <w:tblW w:w="10205" w:type="dxa"/>
        <w:jc w:val="left"/>
        <w:tblInd w:w="0" w:type="dxa"/>
        <w:tblLayout w:type="fixed"/>
        <w:tblCellMar>
          <w:top w:w="0" w:type="dxa"/>
          <w:left w:w="0" w:type="dxa"/>
          <w:bottom w:w="0" w:type="dxa"/>
          <w:right w:w="0" w:type="dxa"/>
        </w:tblCellMar>
      </w:tblPr>
      <w:tblGrid>
        <w:gridCol w:w="8998"/>
        <w:gridCol w:w="146"/>
        <w:gridCol w:w="1061"/>
      </w:tblGrid>
      <w:tr>
        <w:trPr/>
        <w:tc>
          <w:tcPr>
            <w:tcW w:w="89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Combined and Consolidated Financial Statements as of and for the years ended June 30, 2025, 2024 and 2023</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r>
      <w:tr>
        <w:trPr/>
        <w:tc>
          <w:tcPr>
            <w:tcW w:w="8998" w:type="dxa"/>
            <w:tcBorders/>
            <w:vAlign w:val="bottom"/>
          </w:tcPr>
          <w:p>
            <w:pPr>
              <w:pStyle w:val="TableContents"/>
              <w:keepNext w:val="false"/>
              <w:widowControl/>
              <w:pBdr/>
              <w:bidi w:val="0"/>
              <w:spacing w:before="0" w:after="283"/>
              <w:ind w:left="200" w:right="0" w:hanging="200"/>
              <w:jc w:val="left"/>
              <w:rPr/>
            </w:pPr>
            <w:hyperlink w:anchor="T306">
              <w:r>
                <w:rPr>
                  <w:rStyle w:val="InternetLink"/>
                  <w:rFonts w:ascii="Times New Roman PS Std;serif" w:hAnsi="Times New Roman PS Std;serif"/>
                  <w:b w:val="false"/>
                  <w:i w:val="false"/>
                  <w:caps w:val="false"/>
                  <w:smallCaps w:val="false"/>
                  <w:sz w:val="20"/>
                </w:rPr>
                <w:t xml:space="preserve">Report of Independent Registered Public Accounting Firm (PCAOB ID: 1195) </w:t>
              </w:r>
            </w:hyperlink>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r>
        <w:trPr/>
        <w:tc>
          <w:tcPr>
            <w:tcW w:w="8998" w:type="dxa"/>
            <w:tcBorders/>
            <w:shd w:fill="CCEEFF" w:val="clear"/>
            <w:vAlign w:val="bottom"/>
          </w:tcPr>
          <w:p>
            <w:pPr>
              <w:pStyle w:val="TableContents"/>
              <w:keepNext w:val="false"/>
              <w:widowControl/>
              <w:pBdr/>
              <w:bidi w:val="0"/>
              <w:spacing w:before="0" w:after="283"/>
              <w:ind w:left="200" w:right="0" w:hanging="200"/>
              <w:jc w:val="left"/>
              <w:rPr/>
            </w:pPr>
            <w:hyperlink w:anchor="T307">
              <w:r>
                <w:rPr>
                  <w:rStyle w:val="InternetLink"/>
                  <w:rFonts w:ascii="Times New Roman PS Std;serif" w:hAnsi="Times New Roman PS Std;serif"/>
                  <w:b w:val="false"/>
                  <w:i w:val="false"/>
                  <w:caps w:val="false"/>
                  <w:smallCaps w:val="false"/>
                  <w:sz w:val="20"/>
                </w:rPr>
                <w:t xml:space="preserve">Combined and Consolidated Balance Sheets as of June 30, 2025 and 2024 </w:t>
              </w:r>
            </w:hyperlink>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F-30</w:t>
            </w:r>
          </w:p>
        </w:tc>
      </w:tr>
      <w:tr>
        <w:trPr/>
        <w:tc>
          <w:tcPr>
            <w:tcW w:w="8998" w:type="dxa"/>
            <w:tcBorders/>
            <w:vAlign w:val="bottom"/>
          </w:tcPr>
          <w:p>
            <w:pPr>
              <w:pStyle w:val="TableContents"/>
              <w:keepNext w:val="false"/>
              <w:widowControl/>
              <w:pBdr/>
              <w:bidi w:val="0"/>
              <w:spacing w:before="0" w:after="283"/>
              <w:ind w:left="200" w:right="0" w:hanging="200"/>
              <w:jc w:val="left"/>
              <w:rPr/>
            </w:pPr>
            <w:hyperlink w:anchor="T308">
              <w:r>
                <w:rPr>
                  <w:rStyle w:val="InternetLink"/>
                  <w:rFonts w:ascii="Times New Roman PS Std;serif" w:hAnsi="Times New Roman PS Std;serif"/>
                  <w:b w:val="false"/>
                  <w:i w:val="false"/>
                  <w:caps w:val="false"/>
                  <w:smallCaps w:val="false"/>
                  <w:sz w:val="20"/>
                </w:rPr>
                <w:t xml:space="preserve">Combined and Consolidated Statements of Income for the Years Ended June 30, 2025, 2024 </w:t>
                <w:br/>
                <w:t xml:space="preserve">and 2023 </w:t>
              </w:r>
            </w:hyperlink>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F-31</w:t>
            </w:r>
          </w:p>
        </w:tc>
      </w:tr>
      <w:tr>
        <w:trPr/>
        <w:tc>
          <w:tcPr>
            <w:tcW w:w="8998" w:type="dxa"/>
            <w:tcBorders/>
            <w:shd w:fill="CCEEFF" w:val="clear"/>
            <w:vAlign w:val="bottom"/>
          </w:tcPr>
          <w:p>
            <w:pPr>
              <w:pStyle w:val="TableContents"/>
              <w:keepNext w:val="false"/>
              <w:widowControl/>
              <w:pBdr/>
              <w:bidi w:val="0"/>
              <w:spacing w:before="0" w:after="283"/>
              <w:ind w:left="200" w:right="0" w:hanging="200"/>
              <w:jc w:val="left"/>
              <w:rPr/>
            </w:pPr>
            <w:hyperlink w:anchor="T309">
              <w:r>
                <w:rPr>
                  <w:rStyle w:val="InternetLink"/>
                  <w:rFonts w:ascii="Times New Roman PS Std;serif" w:hAnsi="Times New Roman PS Std;serif"/>
                  <w:b w:val="false"/>
                  <w:i w:val="false"/>
                  <w:caps w:val="false"/>
                  <w:smallCaps w:val="false"/>
                  <w:sz w:val="20"/>
                </w:rPr>
                <w:t xml:space="preserve">Combined and Consolidated Statements of Changes in Shareholders’ Equity for the Years Ended June 30, 2025, 2024 and 2023 </w:t>
              </w:r>
            </w:hyperlink>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F-32</w:t>
            </w:r>
          </w:p>
        </w:tc>
      </w:tr>
      <w:tr>
        <w:trPr/>
        <w:tc>
          <w:tcPr>
            <w:tcW w:w="8998" w:type="dxa"/>
            <w:tcBorders/>
            <w:vAlign w:val="bottom"/>
          </w:tcPr>
          <w:p>
            <w:pPr>
              <w:pStyle w:val="TableContents"/>
              <w:keepNext w:val="false"/>
              <w:widowControl/>
              <w:pBdr/>
              <w:bidi w:val="0"/>
              <w:spacing w:before="0" w:after="283"/>
              <w:ind w:left="200" w:right="0" w:hanging="200"/>
              <w:jc w:val="left"/>
              <w:rPr/>
            </w:pPr>
            <w:hyperlink w:anchor="T310">
              <w:r>
                <w:rPr>
                  <w:rStyle w:val="InternetLink"/>
                  <w:rFonts w:ascii="Times New Roman PS Std;serif" w:hAnsi="Times New Roman PS Std;serif"/>
                  <w:b w:val="false"/>
                  <w:i w:val="false"/>
                  <w:caps w:val="false"/>
                  <w:smallCaps w:val="false"/>
                  <w:sz w:val="20"/>
                </w:rPr>
                <w:t xml:space="preserve">Combined and Consolidated Statements of Cash Flows for the Years Ended June 30, 2025, 2024 and 2023 </w:t>
              </w:r>
            </w:hyperlink>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F-33</w:t>
            </w:r>
          </w:p>
        </w:tc>
      </w:tr>
      <w:tr>
        <w:trPr/>
        <w:tc>
          <w:tcPr>
            <w:tcW w:w="8998" w:type="dxa"/>
            <w:tcBorders/>
            <w:shd w:fill="CCEEFF" w:val="clear"/>
            <w:vAlign w:val="bottom"/>
          </w:tcPr>
          <w:p>
            <w:pPr>
              <w:pStyle w:val="TableContents"/>
              <w:keepNext w:val="false"/>
              <w:widowControl/>
              <w:pBdr/>
              <w:bidi w:val="0"/>
              <w:spacing w:before="0" w:after="283"/>
              <w:ind w:left="200" w:right="0" w:hanging="200"/>
              <w:jc w:val="left"/>
              <w:rPr/>
            </w:pPr>
            <w:hyperlink w:anchor="T311">
              <w:r>
                <w:rPr>
                  <w:rStyle w:val="InternetLink"/>
                  <w:rFonts w:ascii="Times New Roman PS Std;serif" w:hAnsi="Times New Roman PS Std;serif"/>
                  <w:b w:val="false"/>
                  <w:i w:val="false"/>
                  <w:caps w:val="false"/>
                  <w:smallCaps w:val="false"/>
                  <w:sz w:val="20"/>
                </w:rPr>
                <w:t xml:space="preserve">Notes to Combined and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 – F-58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301"/>
      <w:bookmarkEnd w:id="26"/>
      <w:r>
        <w:rPr>
          <w:rFonts w:ascii="Times New Roman PS Std;serif" w:hAnsi="Times New Roman PS Std;serif"/>
          <w:b/>
          <w:i w:val="false"/>
          <w:caps w:val="false"/>
          <w:smallCaps w:val="false"/>
          <w:sz w:val="20"/>
        </w:rPr>
        <w:t>INTERCONT (CAYMAN) LIMITED</w:t>
        <w:br/>
        <w:t>UNAUDITED CONDENSED CONSOLIDATED BALANCE SHEETS</w:t>
        <w:br/>
        <w:t xml:space="preserve">(Expressed in U.S. Dollars — except for share data) </w:t>
      </w:r>
    </w:p>
    <w:tbl>
      <w:tblPr>
        <w:tblW w:w="10205" w:type="dxa"/>
        <w:jc w:val="left"/>
        <w:tblInd w:w="0" w:type="dxa"/>
        <w:tblLayout w:type="fixed"/>
        <w:tblCellMar>
          <w:top w:w="0" w:type="dxa"/>
          <w:left w:w="0" w:type="dxa"/>
          <w:bottom w:w="0" w:type="dxa"/>
          <w:right w:w="0" w:type="dxa"/>
        </w:tblCellMar>
      </w:tblPr>
      <w:tblGrid>
        <w:gridCol w:w="6474"/>
        <w:gridCol w:w="146"/>
        <w:gridCol w:w="301"/>
        <w:gridCol w:w="1396"/>
        <w:gridCol w:w="146"/>
        <w:gridCol w:w="301"/>
        <w:gridCol w:w="1441"/>
      </w:tblGrid>
      <w:tr>
        <w:trPr/>
        <w:tc>
          <w:tcPr>
            <w:tcW w:w="64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6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(Audited)</w:t>
            </w:r>
          </w:p>
        </w:tc>
      </w:tr>
      <w:tr>
        <w:trPr/>
        <w:tc>
          <w:tcPr>
            <w:tcW w:w="64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4,042,661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5,648,749</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288,319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287,193</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7,900,779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788,351</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412,873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10,300,869</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12,649,632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18,375,425</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47,871,907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49,722,428</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47,882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6,506</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dry dock cost,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1,107,701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682,637</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asset-operating lease,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1,535,959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50,563,449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52,446,956</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63,213,081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r>
      <w:tr>
        <w:trPr/>
        <w:tc>
          <w:tcPr>
            <w:tcW w:w="64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maturity of long-term loan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1,445,984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854,400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1,025,427</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497,360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21,502,619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1,238,745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1,113,103</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3,279,203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3,338,390</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28,818,311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34,064,396</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1,252,657</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liabilities-non-current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9,035,680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10,677,310</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117,605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9,809,192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11,929,967</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38,627,503</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45,994,363</w:t>
            </w:r>
          </w:p>
        </w:tc>
      </w:tr>
      <w:tr>
        <w:trPr/>
        <w:tc>
          <w:tcPr>
            <w:tcW w:w="6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64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$0.0025 par value, 39,793,402 shares authorized, 1,012,774 and 860,402 shares issued and outstanding as of December 31, 2025 and June 30, 2025, respectively*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$0.0025 par value, 206,598 shares authorized, 206,598 shares issued and outstanding as of both December 31, 2025 and June 30,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14,897,248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12,457,680</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9,685,281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12,367,670</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24,585,578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Equity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63,213,081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and 25:1 share consolidation effective April 2, 2026 as described in Note 13.</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302"/>
      <w:bookmarkEnd w:id="27"/>
      <w:r>
        <w:rPr>
          <w:rFonts w:ascii="Times New Roman PS Std;serif" w:hAnsi="Times New Roman PS Std;serif"/>
          <w:b/>
          <w:i w:val="false"/>
          <w:caps w:val="false"/>
          <w:smallCaps w:val="false"/>
          <w:sz w:val="20"/>
        </w:rPr>
        <w:t>INTERCONT (CAYMAN) LIMITED</w:t>
        <w:br/>
        <w:t>UNAUDITED CONDENSED CONSOLIDATED STATEMENTS OF INCOME</w:t>
        <w:br/>
        <w:t xml:space="preserve">(Expressed in U.S. Dollars — except for share data) </w:t>
      </w:r>
    </w:p>
    <w:tbl>
      <w:tblPr>
        <w:tblW w:w="10109" w:type="dxa"/>
        <w:jc w:val="left"/>
        <w:tblInd w:w="0" w:type="dxa"/>
        <w:tblLayout w:type="fixed"/>
        <w:tblCellMar>
          <w:top w:w="0" w:type="dxa"/>
          <w:left w:w="0" w:type="dxa"/>
          <w:bottom w:w="0" w:type="dxa"/>
          <w:right w:w="0" w:type="dxa"/>
        </w:tblCellMar>
      </w:tblPr>
      <w:tblGrid>
        <w:gridCol w:w="5896"/>
        <w:gridCol w:w="146"/>
        <w:gridCol w:w="286"/>
        <w:gridCol w:w="1396"/>
        <w:gridCol w:w="256"/>
        <w:gridCol w:w="146"/>
        <w:gridCol w:w="286"/>
        <w:gridCol w:w="1396"/>
        <w:gridCol w:w="301"/>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9,176,820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9,977,858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third parties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1,445,122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1,429,265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1,966,321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1,979,244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12,588,263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13,386,367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6,676,992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6,509,744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2,905,329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3,054,356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9,582,321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9,564,100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3,005,942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3,822,267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3,894,427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1,261,906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436,024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4,468,468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1,697,930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(Loss)/income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(1,462,526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2,124,337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(1,192,046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(1,191,971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(39,965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(1,219,863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(1,228,405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(Loss)/income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Earnings per share –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1,076,035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and 25:1 share consolidation effective April 2, 2026 as described in Note 13.</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303"/>
      <w:bookmarkEnd w:id="28"/>
      <w:r>
        <w:rPr>
          <w:rFonts w:ascii="Times New Roman PS Std;serif" w:hAnsi="Times New Roman PS Std;serif"/>
          <w:b/>
          <w:i w:val="false"/>
          <w:caps w:val="false"/>
          <w:smallCaps w:val="false"/>
          <w:sz w:val="20"/>
        </w:rPr>
        <w:t>INTERCONT (CAYMAN) LIMITED</w:t>
        <w:br/>
        <w:t>UNAUDITED CONDENSED CONSOLIDATED STATEMENTS OF CHANGES IN SHAREHOLDERS’ EQUITY</w:t>
        <w:br/>
        <w:t>FOR THE SIX MONTHS ENDED DECEMBER 31, 2025 AND 2024</w:t>
        <w:br/>
        <w:t xml:space="preserve">(Expressed in U.S. Dollars — except for share data) </w:t>
      </w:r>
    </w:p>
    <w:tbl>
      <w:tblPr>
        <w:tblW w:w="14590" w:type="dxa"/>
        <w:jc w:val="left"/>
        <w:tblInd w:w="0" w:type="dxa"/>
        <w:tblLayout w:type="fixed"/>
        <w:tblCellMar>
          <w:top w:w="0" w:type="dxa"/>
          <w:left w:w="0" w:type="dxa"/>
          <w:bottom w:w="0" w:type="dxa"/>
          <w:right w:w="0" w:type="dxa"/>
        </w:tblCellMar>
      </w:tblPr>
      <w:tblGrid>
        <w:gridCol w:w="1526"/>
        <w:gridCol w:w="146"/>
        <w:gridCol w:w="1261"/>
        <w:gridCol w:w="146"/>
        <w:gridCol w:w="301"/>
        <w:gridCol w:w="781"/>
        <w:gridCol w:w="146"/>
        <w:gridCol w:w="1051"/>
        <w:gridCol w:w="146"/>
        <w:gridCol w:w="336"/>
        <w:gridCol w:w="640"/>
        <w:gridCol w:w="146"/>
        <w:gridCol w:w="301"/>
        <w:gridCol w:w="1351"/>
        <w:gridCol w:w="256"/>
        <w:gridCol w:w="146"/>
        <w:gridCol w:w="301"/>
        <w:gridCol w:w="1396"/>
        <w:gridCol w:w="146"/>
        <w:gridCol w:w="301"/>
        <w:gridCol w:w="1396"/>
        <w:gridCol w:w="241"/>
        <w:gridCol w:w="146"/>
        <w:gridCol w:w="301"/>
        <w:gridCol w:w="1396"/>
        <w:gridCol w:w="286"/>
      </w:tblGrid>
      <w:tr>
        <w:trPr/>
        <w:tc>
          <w:tcPr>
            <w:tcW w:w="152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808" w:type="dxa"/>
            <w:gridSpan w:val="9"/>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Ordinary Shares*</w:t>
            </w:r>
          </w:p>
        </w:tc>
        <w:tc>
          <w:tcPr>
            <w:tcW w:w="146" w:type="dxa"/>
            <w:vMerge w:val="restart"/>
            <w:tcBorders/>
            <w:vAlign w:val="bottom"/>
          </w:tcPr>
          <w:p>
            <w:pPr>
              <w:pStyle w:val="TableContents"/>
              <w:bidi w:val="0"/>
              <w:spacing w:before="0" w:after="283"/>
              <w:jc w:val="left"/>
              <w:rPr/>
            </w:pPr>
            <w:r>
              <w:rPr/>
              <w:t> </w:t>
            </w:r>
          </w:p>
        </w:tc>
        <w:tc>
          <w:tcPr>
            <w:tcW w:w="190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Subscription</w:t>
              <w:br/>
              <w:t>receivable</w:t>
            </w:r>
          </w:p>
        </w:tc>
        <w:tc>
          <w:tcPr>
            <w:tcW w:w="146" w:type="dxa"/>
            <w:vMerge w:val="restart"/>
            <w:tcBorders/>
            <w:vAlign w:val="bottom"/>
          </w:tcPr>
          <w:p>
            <w:pPr>
              <w:pStyle w:val="TableContents"/>
              <w:bidi w:val="0"/>
              <w:spacing w:before="0" w:after="283"/>
              <w:jc w:val="left"/>
              <w:rPr/>
            </w:pPr>
            <w:r>
              <w:rPr/>
              <w:t> </w:t>
            </w:r>
          </w:p>
        </w:tc>
        <w:tc>
          <w:tcPr>
            <w:tcW w:w="378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Attributable to </w:t>
              <w:br/>
              <w:t>Intercont’s Shareholders</w:t>
            </w:r>
          </w:p>
        </w:tc>
        <w:tc>
          <w:tcPr>
            <w:tcW w:w="146" w:type="dxa"/>
            <w:tcBorders/>
            <w:vAlign w:val="bottom"/>
          </w:tcPr>
          <w:p>
            <w:pPr>
              <w:pStyle w:val="TableContents"/>
              <w:bidi w:val="0"/>
              <w:spacing w:before="0" w:after="283"/>
              <w:jc w:val="left"/>
              <w:rPr/>
            </w:pPr>
            <w:r>
              <w:rPr/>
              <w:t> </w:t>
            </w:r>
          </w:p>
        </w:tc>
        <w:tc>
          <w:tcPr>
            <w:tcW w:w="198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5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808" w:type="dxa"/>
            <w:gridSpan w:val="9"/>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9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 in </w:t>
              <w:br/>
              <w:t>Deficits)</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Retained</w:t>
              <w:br/>
              <w:t>Interest</w:t>
            </w:r>
          </w:p>
        </w:tc>
        <w:tc>
          <w:tcPr>
            <w:tcW w:w="146" w:type="dxa"/>
            <w:vMerge w:val="restart"/>
            <w:tcBorders/>
            <w:vAlign w:val="bottom"/>
          </w:tcPr>
          <w:p>
            <w:pPr>
              <w:pStyle w:val="TableContents"/>
              <w:bidi w:val="0"/>
              <w:spacing w:before="0" w:after="283"/>
              <w:jc w:val="left"/>
              <w:rPr/>
            </w:pPr>
            <w:r>
              <w:rPr/>
              <w:t> </w:t>
            </w:r>
          </w:p>
        </w:tc>
        <w:tc>
          <w:tcPr>
            <w:tcW w:w="1983" w:type="dxa"/>
            <w:gridSpan w:val="3"/>
            <w:vMerge w:val="continue"/>
            <w:tcBorders/>
            <w:vAlign w:val="bottom"/>
          </w:tcPr>
          <w:p>
            <w:pPr>
              <w:pStyle w:val="Normal"/>
              <w:bidi w:val="0"/>
              <w:jc w:val="left"/>
              <w:rPr/>
            </w:pPr>
            <w:r>
              <w:rPr/>
            </w:r>
          </w:p>
        </w:tc>
      </w:tr>
      <w:tr>
        <w:trPr/>
        <w:tc>
          <w:tcPr>
            <w:tcW w:w="15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9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97"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83" w:type="dxa"/>
            <w:gridSpan w:val="3"/>
            <w:vMerge w:val="continue"/>
            <w:tcBorders/>
            <w:vAlign w:val="bottom"/>
          </w:tcPr>
          <w:p>
            <w:pPr>
              <w:pStyle w:val="Normal"/>
              <w:bidi w:val="0"/>
              <w:jc w:val="left"/>
              <w:rPr/>
            </w:pPr>
            <w:r>
              <w:rPr/>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793,402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1,984</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206,598</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3,016,900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9,263,403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10,932,803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Collection of subscription receivable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895,932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895,932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2024</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793,402</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1,984</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206,598</w:t>
            </w:r>
          </w:p>
        </w:tc>
        <w:tc>
          <w:tcPr>
            <w:tcW w:w="146" w:type="dxa"/>
            <w:tcBorders/>
            <w:vAlign w:val="bottom"/>
          </w:tcPr>
          <w:p>
            <w:pPr>
              <w:pStyle w:val="TableContents"/>
              <w:bidi w:val="0"/>
              <w:spacing w:before="0" w:after="283"/>
              <w:jc w:val="left"/>
              <w:rPr/>
            </w:pPr>
            <w:r>
              <w:rPr/>
              <w:t> </w:t>
            </w:r>
          </w:p>
        </w:tc>
        <w:tc>
          <w:tcPr>
            <w:tcW w:w="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3,016,900</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10,159,335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13,178,735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860,402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2,152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206,598</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12,457,680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12,367,670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shares for private placement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191,985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commitment shares and pre-delivery shares for convertible note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105,619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1,972,625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1,972,889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16,763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274,958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(2,682,389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(2,682,389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1,012,774</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2,533</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206,598</w:t>
            </w:r>
          </w:p>
        </w:tc>
        <w:tc>
          <w:tcPr>
            <w:tcW w:w="146" w:type="dxa"/>
            <w:tcBorders/>
            <w:shd w:fill="CCEEFF" w:val="clear"/>
            <w:vAlign w:val="bottom"/>
          </w:tcPr>
          <w:p>
            <w:pPr>
              <w:pStyle w:val="TableContents"/>
              <w:bidi w:val="0"/>
              <w:spacing w:before="0" w:after="283"/>
              <w:jc w:val="left"/>
              <w:rPr/>
            </w:pPr>
            <w:r>
              <w:rPr/>
              <w:t> </w:t>
            </w:r>
          </w:p>
        </w:tc>
        <w:tc>
          <w:tcPr>
            <w:tcW w:w="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14,897,248</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9,685,281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24,585,578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and 25:1 share consolidation effective April 2, 2026 as described in Note 13.</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304"/>
      <w:bookmarkEnd w:id="29"/>
      <w:r>
        <w:rPr>
          <w:rFonts w:ascii="Times New Roman PS Std;serif" w:hAnsi="Times New Roman PS Std;serif"/>
          <w:b/>
          <w:i w:val="false"/>
          <w:caps w:val="false"/>
          <w:smallCaps w:val="false"/>
          <w:sz w:val="20"/>
        </w:rPr>
        <w:t>INTERCONT (CAYMAN) LIMITED</w:t>
        <w:br/>
        <w:t>UNAUDITED CONDENSED CONSOLIDATED STATEMENTS OF CASH FLOWS</w:t>
        <w:br/>
        <w:t xml:space="preserve">(Expressed in U.S. Dollars — except for share data) </w:t>
      </w:r>
    </w:p>
    <w:tbl>
      <w:tblPr>
        <w:tblW w:w="10205" w:type="dxa"/>
        <w:jc w:val="left"/>
        <w:tblInd w:w="0" w:type="dxa"/>
        <w:tblLayout w:type="fixed"/>
        <w:tblCellMar>
          <w:top w:w="0" w:type="dxa"/>
          <w:left w:w="0" w:type="dxa"/>
          <w:bottom w:w="0" w:type="dxa"/>
          <w:right w:w="0" w:type="dxa"/>
        </w:tblCellMar>
      </w:tblPr>
      <w:tblGrid>
        <w:gridCol w:w="6052"/>
        <w:gridCol w:w="146"/>
        <w:gridCol w:w="301"/>
        <w:gridCol w:w="1351"/>
        <w:gridCol w:w="256"/>
        <w:gridCol w:w="146"/>
        <w:gridCol w:w="301"/>
        <w:gridCol w:w="1351"/>
        <w:gridCol w:w="301"/>
      </w:tblGrid>
      <w:tr>
        <w:trPr/>
        <w:tc>
          <w:tcPr>
            <w:tcW w:w="60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0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(loss)/income to 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vessels and equipment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1,847,689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1,853,833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21,090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32,838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dry-docking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321,704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137,375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operating lease right-of-use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1,498,080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short-term investment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discount for long-term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50,827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convertible notes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392,605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1,013,315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(8,173,385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(85,424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(171,027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64,235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(21,911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106,889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94,383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(1,656,638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(7,212,036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3,182,157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long-lived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(1,316,711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(546,901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of short-term investment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10,280,272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by/(used in) investing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8,963,561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(546,901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long-term loan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(828,144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(828,144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liabilities-principal repayment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(1,694,418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(1,626,284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private placement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192,060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convertible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1,972,889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owing to related-party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(377,543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(3,357,613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(1,481,971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(decrease)/increase in 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(1,606,088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1,153,285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beginning of period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5,648,749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3,751,921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end of period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4,042,661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4,905,206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information: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562,952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1,051,307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transactions: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commitment shares and pre-delivery shares for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1,972,889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305"/>
      <w:bookmarkEnd w:id="30"/>
      <w:r>
        <w:rPr>
          <w:rFonts w:ascii="Times New Roman PS Std;serif" w:hAnsi="Times New Roman PS Std;serif"/>
          <w:b/>
          <w:i w:val="false"/>
          <w:caps w:val="false"/>
          <w:smallCaps w:val="false"/>
          <w:sz w:val="20"/>
        </w:rPr>
        <w:t>INTERCONT (CAYMAN) LIMITED</w:t>
        <w:br/>
        <w:t>NOTES TO UNAUDITED CONDENSED CONSOLIDATED FINANCIAL STATEMENTS</w:t>
        <w:br/>
        <w:t xml:space="preserve">(Expressed in U.S. Dollars — except for share data)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ORGANIZATION AND BUSINESS DESCRIPTION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(Cayman) Limited (“Intercont” or the “Company”) was established under the laws of the Cayman Islands on July 4, 2023 as a holding company. The Company, through its subsidiaries (collectively, the “Group”) listed below, are principally engaged in time charter and vessel management services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Reorganization, the Company’s subsidiaries are as follows:</w:t>
      </w:r>
    </w:p>
    <w:tbl>
      <w:tblPr>
        <w:tblW w:w="10205" w:type="dxa"/>
        <w:jc w:val="left"/>
        <w:tblInd w:w="0" w:type="dxa"/>
        <w:tblLayout w:type="fixed"/>
        <w:tblCellMar>
          <w:top w:w="0" w:type="dxa"/>
          <w:left w:w="0" w:type="dxa"/>
          <w:bottom w:w="0" w:type="dxa"/>
          <w:right w:w="0" w:type="dxa"/>
        </w:tblCellMar>
      </w:tblPr>
      <w:tblGrid>
        <w:gridCol w:w="2337"/>
        <w:gridCol w:w="146"/>
        <w:gridCol w:w="2011"/>
        <w:gridCol w:w="146"/>
        <w:gridCol w:w="1807"/>
        <w:gridCol w:w="146"/>
        <w:gridCol w:w="1397"/>
        <w:gridCol w:w="146"/>
        <w:gridCol w:w="2069"/>
      </w:tblGrid>
      <w:tr>
        <w:trPr/>
        <w:tc>
          <w:tcPr>
            <w:tcW w:w="2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Incorporation</w:t>
            </w:r>
          </w:p>
        </w:tc>
        <w:tc>
          <w:tcPr>
            <w:tcW w:w="146" w:type="dxa"/>
            <w:tcBorders/>
            <w:vAlign w:val="bottom"/>
          </w:tcPr>
          <w:p>
            <w:pPr>
              <w:pStyle w:val="TableContents"/>
              <w:bidi w:val="0"/>
              <w:spacing w:before="0" w:after="283"/>
              <w:jc w:val="left"/>
              <w:rPr/>
            </w:pPr>
            <w:r>
              <w:rPr/>
              <w:t> </w:t>
            </w:r>
          </w:p>
        </w:tc>
        <w:tc>
          <w:tcPr>
            <w:tcW w:w="18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Jurisdiction of </w:t>
              <w:br/>
              <w:t>Formation</w:t>
            </w:r>
          </w:p>
        </w:tc>
        <w:tc>
          <w:tcPr>
            <w:tcW w:w="146" w:type="dxa"/>
            <w:tcBorders/>
            <w:vAlign w:val="bottom"/>
          </w:tcPr>
          <w:p>
            <w:pPr>
              <w:pStyle w:val="TableContents"/>
              <w:bidi w:val="0"/>
              <w:spacing w:before="0" w:after="283"/>
              <w:jc w:val="left"/>
              <w:rPr/>
            </w:pPr>
            <w:r>
              <w:rPr/>
              <w:t> </w:t>
            </w:r>
          </w:p>
        </w:tc>
        <w:tc>
          <w:tcPr>
            <w:tcW w:w="13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direct/indirect </w:t>
              <w:br/>
              <w:t xml:space="preserve">Economic </w:t>
              <w:br/>
              <w:t>Ownership</w:t>
            </w:r>
          </w:p>
        </w:tc>
        <w:tc>
          <w:tcPr>
            <w:tcW w:w="146" w:type="dxa"/>
            <w:tcBorders/>
            <w:vAlign w:val="bottom"/>
          </w:tcPr>
          <w:p>
            <w:pPr>
              <w:pStyle w:val="TableContents"/>
              <w:bidi w:val="0"/>
              <w:spacing w:before="0" w:after="283"/>
              <w:jc w:val="left"/>
              <w:rPr/>
            </w:pPr>
            <w:r>
              <w:rPr/>
              <w:t> </w:t>
            </w:r>
          </w:p>
        </w:tc>
        <w:tc>
          <w:tcPr>
            <w:tcW w:w="20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Activities</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Fortune Ocean Holdings Limited (“Fortune Ocean”)</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22, 2024</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(“BVI”)</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Holding</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Wisdom Shipping Management Co., Limited (“Top Wisdom”)</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Shipping Limited (“Top Moral”)</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12,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Legend Shipping Co., Limited (“Top Legend”)</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6,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 International (HK) Limited (“Top Creation”)</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2011</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Bright Marine Service Co., Limited (“Max Bright”)</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 2014</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Openwindow Technology Pte. Ltd. (“Openwindow”)</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of pulp, paper and paperboard</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the Company, through a series of transactions which is accounted for as a reorganization of entities under a common control (the “Reorganization”), became the ultimate parent of its subsidiaries.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reorganization of the legal structure was completed on March 27, 2024. The reorganization involved: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formation of the Company’s wholly owned subsidiary-Openwindow on July 28, 2023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formation of Fortune Ocean on January 22, 2024 and all the equity interests of Top Wisdom, Top Moral, Top Legend, Top Creation and Max Bright were transferred to Fortune Ocean on March 14, 2024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the shareholders’ equity interests in Fortune Ocean were transferred to the Company on March 27, 2024 under common control and at nominal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before and after the reorganization, the Company, together with its subsidiaries, is effectively controlled by the same group of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unaudited condensed consolidated financial statements in accordance with ASC 805-50-45-5.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 ORGANIZATION AND BUSINESS DESCRIPTION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Going concern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its liquidity, the Group monitors and analyzes its cash on hand, ability to generate sufficient revenue sources in the future and operating and capital expenditure commitments. As of December 31, 2025, the Group had cash of approximately $4,042,661. As of December 31, 2025 and June 30, 2025, the Group’s working capital deficit was $16,168,679 and $15,688,971, respectively. For the six months ended December 31, 2025, the Group’s net loss was $2,682,389.</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As of March 31, 2026, the Company had cash and cash equivalents of $3,808,469.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ability for the Group to raise financing, the management has alleviated the substantial doubt about the Group’s ability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in accordance with accounting principles generally accepted in the United States of America (“U.S. GAAP”) and pursuant to the rules and regulations of the Securities Exchange Commission (“SEC”). Accordingly, they do not include all of the information and footnotes required by generally accepted accounting principles for complete financial statements. In the opinion of management, all adjustments (consisting only of normal recurring accruals) considered necessary for a fair presentation have been included. Operating results for the six months ended December 31, 2025 and 2024 are not necessarily indicative of the results that may be expected for the full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financial statements of the Company and its subsidiaries. All intercompany transactions and balances are eliminated upon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those entities in which the Company, directly or indirectly, controls more than 50% of the voting power; or has the power to govern the financial and operating policies, to appoint or remove the majority of the members of the board of directors, or to cast a majority of votes at the meeting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Uses of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unaudited condensed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unaudited condensed consolidated financial statements. Significant accounting estimates required to be made by management include, but are not limited to impairment of long-lived assets, determination of incremental borrowing rate for leases, expected credit loss of receivables.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translation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disclosed, the fair value of the Group’s financial instruments, including cash, accounts receivable, due from related parties, accounts payable, advance from customers, due to related parties, accrued expenses and current maturity of long-term loan approximates their recorded values. The Group determined that the carrying value of the long-term loans approximated their fair value by comparing the stated loan interest rate to the rate charged by similar financial institutions.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comprises cash at banks and on hand, which includes deposits with original maturities of three months or less with commercial banks.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Expected credit losses of receivables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six months ended December 31,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six months ended December 31, 2025 and 2024, the Group provided allowance for credit losses of nil.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recorded at cost. Depreciation is provided in amounts sufficient to amortize the cost of the related assets over their useful lives using the straight-line method, as follows:</w:t>
      </w:r>
    </w:p>
    <w:tbl>
      <w:tblPr>
        <w:tblW w:w="4618" w:type="dxa"/>
        <w:jc w:val="left"/>
        <w:tblInd w:w="0" w:type="dxa"/>
        <w:tblLayout w:type="fixed"/>
        <w:tblCellMar>
          <w:top w:w="0" w:type="dxa"/>
          <w:left w:w="0" w:type="dxa"/>
          <w:bottom w:w="0" w:type="dxa"/>
          <w:right w:w="0" w:type="dxa"/>
        </w:tblCellMar>
      </w:tblPr>
      <w:tblGrid>
        <w:gridCol w:w="3241"/>
        <w:gridCol w:w="146"/>
        <w:gridCol w:w="1231"/>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Useful life</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electronic equipment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unaudited condensed consolidated statements of income in other income or expenses. Depreciation expense was $3,567 and $782 for the six months ended December 31, 2025 and 2024,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Vessels,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under financing leases are also included in this caption on the consolidated balance sheets.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the Group concluded that events and circumstances did not trigger the existence of potential impairment of its vessels and other long-lived assets and that step one of the impairment analysis was not required.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dry docking cost,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capitalized as part of the drydocking consist principally of the actual costs incurred at the yard, and expenses relating to spare parts, paints, lubricants and services incurred solely during the drydocking or special survey period. As of December 31, 2025 and June 30, 2025, the deferred dry-docking cost, net was $1,107,701 and $682,637, respectively. For the six months ended December 31, 2025 and 2024, the amortization expense for the deferred dry-docking costs amounted to $321,704 and $137,375,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Short-term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engaged in vessels rental and management services and primarily derives its revenue from time charter contracts and provides vessel management service.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1: Identify the contract(s) with a customer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2: Identify the performance obligations in the contract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3: Determine the transaction price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4: Allocate the transaction price to the performance obligations in the contract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5: Recognize revenue when (or as) the entity satisfies a performance obligation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Time charter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Vessel management services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Disaggregation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disaggregated revenues by revenue streams were as follows:</w:t>
      </w:r>
    </w:p>
    <w:tbl>
      <w:tblPr>
        <w:tblW w:w="9567" w:type="dxa"/>
        <w:jc w:val="left"/>
        <w:tblInd w:w="0" w:type="dxa"/>
        <w:tblLayout w:type="fixed"/>
        <w:tblCellMar>
          <w:top w:w="0" w:type="dxa"/>
          <w:left w:w="0" w:type="dxa"/>
          <w:bottom w:w="0" w:type="dxa"/>
          <w:right w:w="0" w:type="dxa"/>
        </w:tblCellMar>
      </w:tblPr>
      <w:tblGrid>
        <w:gridCol w:w="6166"/>
        <w:gridCol w:w="146"/>
        <w:gridCol w:w="286"/>
        <w:gridCol w:w="1246"/>
        <w:gridCol w:w="146"/>
        <w:gridCol w:w="286"/>
        <w:gridCol w:w="1291"/>
      </w:tblGrid>
      <w:tr>
        <w:trPr/>
        <w:tc>
          <w:tcPr>
            <w:tcW w:w="6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5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61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(over time recognition)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9,176,820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9,977,858</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(over time recognition)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3,411,443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3,408,509</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12,588,263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13,386,367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disaggregated revenues by customer location were as follows:</w:t>
      </w:r>
    </w:p>
    <w:tbl>
      <w:tblPr>
        <w:tblW w:w="5217" w:type="dxa"/>
        <w:jc w:val="left"/>
        <w:tblInd w:w="0" w:type="dxa"/>
        <w:tblLayout w:type="fixed"/>
        <w:tblCellMar>
          <w:top w:w="0" w:type="dxa"/>
          <w:left w:w="0" w:type="dxa"/>
          <w:bottom w:w="0" w:type="dxa"/>
          <w:right w:w="0" w:type="dxa"/>
        </w:tblCellMar>
      </w:tblPr>
      <w:tblGrid>
        <w:gridCol w:w="1816"/>
        <w:gridCol w:w="146"/>
        <w:gridCol w:w="286"/>
        <w:gridCol w:w="1246"/>
        <w:gridCol w:w="146"/>
        <w:gridCol w:w="286"/>
        <w:gridCol w:w="1291"/>
      </w:tblGrid>
      <w:tr>
        <w:trPr/>
        <w:tc>
          <w:tcPr>
            <w:tcW w:w="1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5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8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9,250,107</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10,047,638</w:t>
            </w:r>
          </w:p>
        </w:tc>
      </w:tr>
      <w:tr>
        <w:trPr/>
        <w:tc>
          <w:tcPr>
            <w:tcW w:w="18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S.A.R.</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1,892,510</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1,909,464</w:t>
            </w:r>
          </w:p>
        </w:tc>
      </w:tr>
      <w:tr>
        <w:trPr/>
        <w:tc>
          <w:tcPr>
            <w:tcW w:w="18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countries</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1,445,646</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1,429,265</w:t>
            </w:r>
          </w:p>
        </w:tc>
      </w:tr>
      <w:tr>
        <w:trPr/>
        <w:tc>
          <w:tcPr>
            <w:tcW w:w="18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tcPr>
          <w:p>
            <w:pPr>
              <w:pStyle w:val="TableContents"/>
              <w:bidi w:val="0"/>
              <w:spacing w:before="0" w:after="283"/>
              <w:jc w:val="left"/>
              <w:rPr/>
            </w:pPr>
            <w:r>
              <w:rPr/>
              <w:t> </w:t>
            </w:r>
          </w:p>
        </w:tc>
        <w:tc>
          <w:tcPr>
            <w:tcW w:w="286"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12,588,263</w:t>
            </w:r>
          </w:p>
        </w:tc>
        <w:tc>
          <w:tcPr>
            <w:tcW w:w="146" w:type="dxa"/>
            <w:tcBorders/>
          </w:tcPr>
          <w:p>
            <w:pPr>
              <w:pStyle w:val="TableContents"/>
              <w:bidi w:val="0"/>
              <w:spacing w:before="0" w:after="283"/>
              <w:jc w:val="left"/>
              <w:rPr/>
            </w:pPr>
            <w:r>
              <w:rPr/>
              <w:t> </w:t>
            </w:r>
          </w:p>
        </w:tc>
        <w:tc>
          <w:tcPr>
            <w:tcW w:w="286"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13,386,367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contract liability exists when the Group has received consideration prior to it being earned. These amounts are recognized as revenue over the charter period. As of December 31, 2025 and June 30, 2025, contract liabilities amounted to $497,360, and $433,125, respectively. All contract liabilities as of June 30, 2025 have been recognized as revenue in the next month. All contract liabilities as of December 31, 2025 have been recognized as revenue in January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lease contracts for vessels and office space. Leases are classified as either operating leases or finance leases, based on an assessment of the terms of the lease. The Group records lease liabilities and right-of-use assets on its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with a lease term not more than one year and without a purchase option (short-term leases), the Group records operating lease expense in its consolidated statements of income on a straight-line basis over the lease term and record variable lease payments as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current income taxes in accordance with the laws of the relevant tax authorities. Deferred income taxes are recognized when temporary differences exist between the tax bases of assets and liabilities and their reported amounts in the unaudited condensed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Earnings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six months ended December 31, 2025 and 2024, there were 1,076,035 and 1,000,000 weighted average basic and dilutive shares,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does not review segment assets and segment expenses at a level different than what is reported in the Company’s Consolidated Balance Sheets and Consolidated Statements of Income. Additionally, the CODM regularly receives information about the Company’s capital expenditures which are reported in the Company’s Consolidated Statement of Cash Flows as purchase of long-lived assets under 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other segment items include research and development expenses related to seaborne innovational business with current research direction of seaborne pulping for the six months ended December 31,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all revenue is generated outside of the United States. For disaggregated revenues by revenue streams and customer location, please see Revenue Recognition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long-lived assets consist primarily of vessels and property and equipment, all of which are located outside of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 of risks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Concentration of 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December 31, 2025, and June 30, 2025, the Group’s uninsured cash balance was approximately $3,875,168 and $5,478,297,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Significant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As of December 31, 2025, Customer B accounted for approximately 98% of the Group’s accounts receivable. As of June 30, 2025, Customer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Significant 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Supplier A accounted for approximately 17% of the Group’s total cost of revenues. For the six months ended December 31, 2024, Supplier A accounted for approximately 17% of the Group’s total cost of revenues. As of December 31, 2025 and June 30, 2025, no supplier accounted for more than 10% of the Company’s total accounts payable.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the applicability and impact of all accounting standards updates (“ASUs”). Management periodically reviews new accounting standards that are issued.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unaudited condensed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adoption of this guidance did not have a material impact on the Group’s unaudited condensed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unaudited condensed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adoption of this guidance did not have a material impact on the Group’s unaudited condensed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July 2025, the FASB issued ASU 2025-05, Measurement of Credit Losses for Accounts Receivable and Contract Assets. ASU 2025-05 amends ASC 326, Financial Instruments — 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Group’s annual reporting periods beginning after December 15, 2025, and interim reporting periods within those annual reporting periods, with early adoption permitted. ASU 2025-05 should be applied on a prospective basis. The Group is currently assessing the impact this standard will have on the Group’s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ASU 2025-11, Interim Reporting (Topic 270): Narrow-Scope Improvement. ASU 2025-11 is intended to improve the navigability of required interim disclosures and clarify when that guidance is applicable, and also to provide additional guidance on what disclosures should be provided in interim reporting periods. ASU 2025-11 is effective for public business entities for interim reporting periods within annual reporting periods beginning after December 15, 2027. Early adoption is permitted. The Group is currently evaluating the impact of ASU 2025-11 on its financial statements and related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ASU 2025-12, Codification Improvements. ASU 2025-12 makes thirty-three incremental improvements to generally accepted accounting principles. ASU 2025-12 is effective for all entities for annual reporting periods beginning after December 15, 2026, and interim reporting periods within those annual reporting periods. The Group is currently evaluating the impact of ASU 2025-12 on its financial statements and related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believe other recently issued but not yet effective accounting standards, if currently adopted, would have a material effect on the Group’s consolidated balance sheets, statements of income and statements of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PREPAYMENTS AND OTHER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6535" w:type="dxa"/>
        <w:jc w:val="left"/>
        <w:tblInd w:w="0" w:type="dxa"/>
        <w:tblLayout w:type="fixed"/>
        <w:tblCellMar>
          <w:top w:w="0" w:type="dxa"/>
          <w:left w:w="0" w:type="dxa"/>
          <w:bottom w:w="0" w:type="dxa"/>
          <w:right w:w="0" w:type="dxa"/>
        </w:tblCellMar>
      </w:tblPr>
      <w:tblGrid>
        <w:gridCol w:w="3331"/>
        <w:gridCol w:w="146"/>
        <w:gridCol w:w="331"/>
        <w:gridCol w:w="1304"/>
        <w:gridCol w:w="146"/>
        <w:gridCol w:w="286"/>
        <w:gridCol w:w="99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crew</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172,133</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employee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57,408</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deposit(1)</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consulting service fee(2)</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7,479,825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58,810</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7,900,779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788,351</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non-current assets consisted of the following:</w:t>
      </w:r>
    </w:p>
    <w:tbl>
      <w:tblPr>
        <w:tblW w:w="7720" w:type="dxa"/>
        <w:jc w:val="left"/>
        <w:tblInd w:w="0" w:type="dxa"/>
        <w:tblLayout w:type="fixed"/>
        <w:tblCellMar>
          <w:top w:w="0" w:type="dxa"/>
          <w:left w:w="0" w:type="dxa"/>
          <w:bottom w:w="0" w:type="dxa"/>
          <w:right w:w="0" w:type="dxa"/>
        </w:tblCellMar>
      </w:tblPr>
      <w:tblGrid>
        <w:gridCol w:w="4516"/>
        <w:gridCol w:w="146"/>
        <w:gridCol w:w="331"/>
        <w:gridCol w:w="1304"/>
        <w:gridCol w:w="146"/>
        <w:gridCol w:w="286"/>
        <w:gridCol w:w="991"/>
      </w:tblGrid>
      <w:tr>
        <w:trPr/>
        <w:tc>
          <w:tcPr>
            <w:tcW w:w="45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security deposit(3)</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r>
      <w:tr>
        <w:trPr/>
        <w:tc>
          <w:tcPr>
            <w:tcW w:w="4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research and development expenses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consulting service fee(2)</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960,959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1,535,959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Rental deposit represents a deposit of $100,000 paid to the lessor of Top Advancer (see Note 8). During the six months ended December 31, 2025, the Company received $400,000 of this deposit, and the remaining balance is expected to be received in March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PREPAYMENTS AND OTHER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represents prepaid consulting service fees of $8,440,784 paid to third-party service providers for consulting. These services are expected to be rendered over a contractual period of two years. The Company amortizes the prepaid consulting service fees on a straight-line basis over the service period. As of December 31, 2025, $7,479,825 and $960,959 are classified as current and non-current, respectively, based on the expected timing of service delivery.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This is long-term loan security deposit of $475,000, which is expected to be collected at the end of long-term loan agreement (see Note 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VESSELS, NET</w:t>
      </w:r>
    </w:p>
    <w:tbl>
      <w:tblPr>
        <w:tblW w:w="9103" w:type="dxa"/>
        <w:jc w:val="left"/>
        <w:tblInd w:w="0" w:type="dxa"/>
        <w:tblLayout w:type="fixed"/>
        <w:tblCellMar>
          <w:top w:w="0" w:type="dxa"/>
          <w:left w:w="0" w:type="dxa"/>
          <w:bottom w:w="0" w:type="dxa"/>
          <w:right w:w="0" w:type="dxa"/>
        </w:tblCellMar>
      </w:tblPr>
      <w:tblGrid>
        <w:gridCol w:w="3226"/>
        <w:gridCol w:w="146"/>
        <w:gridCol w:w="286"/>
        <w:gridCol w:w="1246"/>
        <w:gridCol w:w="241"/>
        <w:gridCol w:w="146"/>
        <w:gridCol w:w="286"/>
        <w:gridCol w:w="1321"/>
        <w:gridCol w:w="241"/>
        <w:gridCol w:w="146"/>
        <w:gridCol w:w="286"/>
        <w:gridCol w:w="1246"/>
        <w:gridCol w:w="286"/>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Vessels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70,448,896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(20,726,468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49,722,428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(1,844,122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(1,844,122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movement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70,442,497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(22,570,590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47,871,907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balances as of December 31, 2025 and June 30, 2025 are analyzed in the following tables:</w:t>
      </w:r>
    </w:p>
    <w:tbl>
      <w:tblPr>
        <w:tblW w:w="8742" w:type="dxa"/>
        <w:jc w:val="left"/>
        <w:tblInd w:w="0" w:type="dxa"/>
        <w:tblLayout w:type="fixed"/>
        <w:tblCellMar>
          <w:top w:w="0" w:type="dxa"/>
          <w:left w:w="0" w:type="dxa"/>
          <w:bottom w:w="0" w:type="dxa"/>
          <w:right w:w="0" w:type="dxa"/>
        </w:tblCellMar>
      </w:tblPr>
      <w:tblGrid>
        <w:gridCol w:w="3226"/>
        <w:gridCol w:w="146"/>
        <w:gridCol w:w="286"/>
        <w:gridCol w:w="1246"/>
        <w:gridCol w:w="146"/>
        <w:gridCol w:w="286"/>
        <w:gridCol w:w="1201"/>
        <w:gridCol w:w="241"/>
        <w:gridCol w:w="146"/>
        <w:gridCol w:w="286"/>
        <w:gridCol w:w="1246"/>
        <w:gridCol w:w="286"/>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Owned Vessel*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(2,491,323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11,603,467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(433,273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(433,273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December 31, 2025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(2,924,596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11,170,194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4328"/>
        <w:gridCol w:w="146"/>
        <w:gridCol w:w="286"/>
        <w:gridCol w:w="1246"/>
        <w:gridCol w:w="241"/>
        <w:gridCol w:w="146"/>
        <w:gridCol w:w="286"/>
        <w:gridCol w:w="1321"/>
        <w:gridCol w:w="241"/>
        <w:gridCol w:w="146"/>
        <w:gridCol w:w="286"/>
        <w:gridCol w:w="1246"/>
        <w:gridCol w:w="286"/>
      </w:tblGrid>
      <w:tr>
        <w:trPr/>
        <w:tc>
          <w:tcPr>
            <w:tcW w:w="432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43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Right-of-use assets under finance lease**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56,354,106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(18,235,145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38,118,961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(1,410,849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(1,410,849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movement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56,347,707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(19,645,994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36,701,713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Owned Vessel: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On August 14, 2022, the Group took delivery of the Top Brilliance, a 2008-built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vessel of 56,823 dwt (Deadweight Tonnage), from an unrelated third party, for an acquisition cost of $14,094,790. Depreciation expense amounted to $433,273 and $433,273 for the six months ended December 31, 2025 and 2024.</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i w:val="false"/>
          <w:caps w:val="false"/>
          <w:smallCaps w:val="false"/>
          <w:sz w:val="18"/>
        </w:rPr>
        <w:t>**      Right-of-use</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i w:val="false"/>
          <w:caps w:val="false"/>
          <w:smallCaps w:val="false"/>
          <w:sz w:val="18"/>
        </w:rPr>
        <w:t>assets under finance lease: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 September, 2018, the Group took delivery of Top Diligence, a 2018-built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Dry Cargo vessel of 48,500 dwt, for a 10-year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bareboat charter-in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agreement. The bareboat charter-in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provides for purchase obligation with a bargain purchase price at the end of 10-year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charter period. The Group accounted for the vessel as finance lease and recorded right-of-use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assets of $26,821,639 and financing lease liabilities of $17,710,000 on the lease beginning date. (see Note 8)</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 January, 2019, the Group took delivery of Top Elegance, a 2019-built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Dry Cargo vessel of 48,500 dwt, for a 10-year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bareboat charter-in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agreement. The bareboat charter-in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provides for purchase obligation with a bargain purchase price at the end of 10-year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charter period. The Group accounted for the vessel as finance lease and recorded right-of-use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assets of $27,275,307 and financing lease liabilities of $17,710,000 on the lease beginning date. (see Note 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 VESSELS,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June 30, 2024, the Group completed the installation of desulfurizing towers on Top Diligence and Top Elegance. The original value of $2,059,036 is depreciated during the useful life.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Depreciation expense for the vessels under finance lease was $1,410,849 and $1,419,778 for six months ended December 31,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SHORT TERM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the Group’s short-term investments are comprised of the following:</w:t>
      </w:r>
    </w:p>
    <w:tbl>
      <w:tblPr>
        <w:tblW w:w="5980" w:type="dxa"/>
        <w:jc w:val="left"/>
        <w:tblInd w:w="0" w:type="dxa"/>
        <w:tblLayout w:type="fixed"/>
        <w:tblCellMar>
          <w:top w:w="0" w:type="dxa"/>
          <w:left w:w="0" w:type="dxa"/>
          <w:bottom w:w="0" w:type="dxa"/>
          <w:right w:w="0" w:type="dxa"/>
        </w:tblCellMar>
      </w:tblPr>
      <w:tblGrid>
        <w:gridCol w:w="2476"/>
        <w:gridCol w:w="146"/>
        <w:gridCol w:w="675"/>
        <w:gridCol w:w="960"/>
        <w:gridCol w:w="146"/>
        <w:gridCol w:w="286"/>
        <w:gridCol w:w="1291"/>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investment fund</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10,300,869</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$10,280,272 after deducting redemption fees and bank charges.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ACCRUED EXPENSES AND OTHER LIABITIES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6220" w:type="dxa"/>
        <w:jc w:val="left"/>
        <w:tblInd w:w="0" w:type="dxa"/>
        <w:tblLayout w:type="fixed"/>
        <w:tblCellMar>
          <w:top w:w="0" w:type="dxa"/>
          <w:left w:w="0" w:type="dxa"/>
          <w:bottom w:w="0" w:type="dxa"/>
          <w:right w:w="0" w:type="dxa"/>
        </w:tblCellMar>
      </w:tblPr>
      <w:tblGrid>
        <w:gridCol w:w="2836"/>
        <w:gridCol w:w="146"/>
        <w:gridCol w:w="331"/>
        <w:gridCol w:w="1304"/>
        <w:gridCol w:w="146"/>
        <w:gridCol w:w="286"/>
        <w:gridCol w:w="117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welfare payable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891,645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660,589</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 fees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337,635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402,458</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50,056</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1,238,745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1,113,103</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LONG-TERM PAYABLE</w:t>
      </w:r>
    </w:p>
    <w:tbl>
      <w:tblPr>
        <w:tblW w:w="5980" w:type="dxa"/>
        <w:jc w:val="left"/>
        <w:tblInd w:w="0" w:type="dxa"/>
        <w:tblLayout w:type="fixed"/>
        <w:tblCellMar>
          <w:top w:w="0" w:type="dxa"/>
          <w:left w:w="0" w:type="dxa"/>
          <w:bottom w:w="0" w:type="dxa"/>
          <w:right w:w="0" w:type="dxa"/>
        </w:tblCellMar>
      </w:tblPr>
      <w:tblGrid>
        <w:gridCol w:w="2776"/>
        <w:gridCol w:w="146"/>
        <w:gridCol w:w="675"/>
        <w:gridCol w:w="960"/>
        <w:gridCol w:w="146"/>
        <w:gridCol w:w="286"/>
        <w:gridCol w:w="991"/>
      </w:tblGrid>
      <w:tr>
        <w:trPr/>
        <w:tc>
          <w:tcPr>
            <w:tcW w:w="27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current</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represents the remaining balance for desulfurizing towers of Top Diligence and Top Elegance. which was fully paid off in current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LEASES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cash paid for operating lease liabilities amounted to $1,708,380 and $1,682,250,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lease expenses for the six months ended December 31, 2025 and 2024 were as follows:</w:t>
      </w:r>
    </w:p>
    <w:tbl>
      <w:tblPr>
        <w:tblW w:w="6113" w:type="dxa"/>
        <w:jc w:val="left"/>
        <w:tblInd w:w="0" w:type="dxa"/>
        <w:tblLayout w:type="fixed"/>
        <w:tblCellMar>
          <w:top w:w="0" w:type="dxa"/>
          <w:left w:w="0" w:type="dxa"/>
          <w:bottom w:w="0" w:type="dxa"/>
          <w:right w:w="0" w:type="dxa"/>
        </w:tblCellMar>
      </w:tblPr>
      <w:tblGrid>
        <w:gridCol w:w="2506"/>
        <w:gridCol w:w="146"/>
        <w:gridCol w:w="331"/>
        <w:gridCol w:w="1304"/>
        <w:gridCol w:w="146"/>
        <w:gridCol w:w="329"/>
        <w:gridCol w:w="1351"/>
      </w:tblGrid>
      <w:tr>
        <w:trPr/>
        <w:tc>
          <w:tcPr>
            <w:tcW w:w="25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operating lease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1,579,139</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1,579,139</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operating lease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129,241</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103,111</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expense</w:t>
            </w:r>
          </w:p>
        </w:tc>
        <w:tc>
          <w:tcPr>
            <w:tcW w:w="146" w:type="dxa"/>
            <w:tcBorders/>
            <w:shd w:fill="CCEEFF" w:val="clear"/>
            <w:vAlign w:val="bottom"/>
          </w:tcPr>
          <w:p>
            <w:pPr>
              <w:pStyle w:val="TableContents"/>
              <w:bidi w:val="0"/>
              <w:spacing w:before="0" w:after="283"/>
              <w:jc w:val="left"/>
              <w:rPr/>
            </w:pPr>
            <w:r>
              <w:rPr/>
              <w:t> </w:t>
            </w:r>
          </w:p>
        </w:tc>
        <w:tc>
          <w:tcPr>
            <w:tcW w:w="3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1,708,380</w:t>
            </w:r>
          </w:p>
        </w:tc>
        <w:tc>
          <w:tcPr>
            <w:tcW w:w="146" w:type="dxa"/>
            <w:tcBorders/>
            <w:shd w:fill="CCEEFF" w:val="clear"/>
            <w:vAlign w:val="bottom"/>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1,682,250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operating lease expense depending on the BSI (Baltic Supramax index) published by the Baltic Exchange is measured on a monthly basis and recognized during the period in which it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balance sheet information related to operating lease was as follows:</w:t>
      </w:r>
    </w:p>
    <w:tbl>
      <w:tblPr>
        <w:tblW w:w="7420" w:type="dxa"/>
        <w:jc w:val="left"/>
        <w:tblInd w:w="0" w:type="dxa"/>
        <w:tblLayout w:type="fixed"/>
        <w:tblCellMar>
          <w:top w:w="0" w:type="dxa"/>
          <w:left w:w="0" w:type="dxa"/>
          <w:bottom w:w="0" w:type="dxa"/>
          <w:right w:w="0" w:type="dxa"/>
        </w:tblCellMar>
      </w:tblPr>
      <w:tblGrid>
        <w:gridCol w:w="4036"/>
        <w:gridCol w:w="146"/>
        <w:gridCol w:w="675"/>
        <w:gridCol w:w="960"/>
        <w:gridCol w:w="146"/>
        <w:gridCol w:w="286"/>
        <w:gridCol w:w="1171"/>
      </w:tblGrid>
      <w:tr>
        <w:trPr/>
        <w:tc>
          <w:tcPr>
            <w:tcW w:w="40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assets-operating lease, net</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r>
      <w:tr>
        <w:trPr/>
        <w:tc>
          <w:tcPr>
            <w:tcW w:w="4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vAlign w:val="bottom"/>
          </w:tcPr>
          <w:p>
            <w:pPr>
              <w:pStyle w:val="TableContents"/>
              <w:bidi w:val="0"/>
              <w:spacing w:before="0" w:after="283"/>
              <w:jc w:val="left"/>
              <w:rPr/>
            </w:pPr>
            <w:r>
              <w:rPr/>
              <w:t> </w:t>
            </w:r>
          </w:p>
        </w:tc>
        <w:tc>
          <w:tcPr>
            <w:tcW w:w="6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remaining lease terms and discount rate for operating lease were as follows as of December 31, 2025 and June 30, 2025:</w:t>
      </w:r>
    </w:p>
    <w:tbl>
      <w:tblPr>
        <w:tblW w:w="8140" w:type="dxa"/>
        <w:jc w:val="left"/>
        <w:tblInd w:w="0" w:type="dxa"/>
        <w:tblLayout w:type="fixed"/>
        <w:tblCellMar>
          <w:top w:w="0" w:type="dxa"/>
          <w:left w:w="0" w:type="dxa"/>
          <w:bottom w:w="0" w:type="dxa"/>
          <w:right w:w="0" w:type="dxa"/>
        </w:tblCellMar>
      </w:tblPr>
      <w:tblGrid>
        <w:gridCol w:w="4816"/>
        <w:gridCol w:w="146"/>
        <w:gridCol w:w="882"/>
        <w:gridCol w:w="753"/>
        <w:gridCol w:w="146"/>
        <w:gridCol w:w="1066"/>
        <w:gridCol w:w="331"/>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Remaining lease term and discount rate:</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vAlign w:val="bottom"/>
          </w:tcPr>
          <w:p>
            <w:pPr>
              <w:pStyle w:val="TableContents"/>
              <w:bidi w:val="0"/>
              <w:spacing w:before="0" w:after="283"/>
              <w:jc w:val="left"/>
              <w:rPr/>
            </w:pPr>
            <w:r>
              <w:rPr/>
              <w:t> </w:t>
            </w:r>
          </w:p>
        </w:tc>
        <w:tc>
          <w:tcPr>
            <w:tcW w:w="8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 years</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Short-term operating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nil and $13,795 for the six months ended December 31,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leases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2018, the Group took delivery of Top Diligence, a 2018-built Dry Cargo vessel of 48,500 dwt, for a 10-year bareboat charter-in agreement with Topsheen Shipping Group Limited (a related party, see Note 11). The bareboat charter-in provides for purchase obligation with a bargain purchase price at the end of 10-year charter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December 31, 2025 and June 30,2025, the outstanding balance of lease liabilities was $5,890,260 and $6,739,912, respectively, and is repayable in 32 months and 38 months in consecutive monthly installments, with an estimated purchase option of $1,490,000.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2019, the Group took delivery of Top Elegance, a 2019-built Dry Cargo vessel of 48,500 dwt, for a 10-year bareboat charter-in agreement with Topsheen Shipping Group Limited (a related party, see Note 11).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December 31, 2025 and June 30, 2025, the outstanding balance of lease liabilities was $6,424,623 and $7,275,788, respectively, and is repayable in 42 months in consecutive monthly installments, with an estimated purchase option of $1,490,000.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financing lease expense, including amortization and interest expenses recognized in the unaudited condensed consolidated statements of income for the six months ended December 31, 2025 and 2024 were as follows:</w:t>
      </w:r>
    </w:p>
    <w:tbl>
      <w:tblPr>
        <w:tblW w:w="6338" w:type="dxa"/>
        <w:jc w:val="left"/>
        <w:tblInd w:w="0" w:type="dxa"/>
        <w:tblLayout w:type="fixed"/>
        <w:tblCellMar>
          <w:top w:w="0" w:type="dxa"/>
          <w:left w:w="0" w:type="dxa"/>
          <w:bottom w:w="0" w:type="dxa"/>
          <w:right w:w="0" w:type="dxa"/>
        </w:tblCellMar>
      </w:tblPr>
      <w:tblGrid>
        <w:gridCol w:w="2731"/>
        <w:gridCol w:w="146"/>
        <w:gridCol w:w="331"/>
        <w:gridCol w:w="1304"/>
        <w:gridCol w:w="146"/>
        <w:gridCol w:w="329"/>
        <w:gridCol w:w="1351"/>
      </w:tblGrid>
      <w:tr>
        <w:trPr/>
        <w:tc>
          <w:tcPr>
            <w:tcW w:w="2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1,160,698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1,352,424</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expenses-fixed</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505,272</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629,263</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expenses-variable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134,236</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277,905</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1,800,206</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2,259,592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interest expenses depending on LIBOR (later replaced by SOFR) are measured on a monthly basis and recognized during the period in which they are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balance sheet information related to financing leases was as follows:</w:t>
      </w:r>
    </w:p>
    <w:tbl>
      <w:tblPr>
        <w:tblW w:w="10205" w:type="dxa"/>
        <w:jc w:val="left"/>
        <w:tblInd w:w="0" w:type="dxa"/>
        <w:tblLayout w:type="fixed"/>
        <w:tblCellMar>
          <w:top w:w="0" w:type="dxa"/>
          <w:left w:w="0" w:type="dxa"/>
          <w:bottom w:w="0" w:type="dxa"/>
          <w:right w:w="0" w:type="dxa"/>
        </w:tblCellMar>
      </w:tblPr>
      <w:tblGrid>
        <w:gridCol w:w="6711"/>
        <w:gridCol w:w="146"/>
        <w:gridCol w:w="303"/>
        <w:gridCol w:w="1321"/>
        <w:gridCol w:w="146"/>
        <w:gridCol w:w="286"/>
        <w:gridCol w:w="1292"/>
      </w:tblGrid>
      <w:tr>
        <w:trPr/>
        <w:tc>
          <w:tcPr>
            <w:tcW w:w="6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6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assets-financing lease, net (included in Vessels, net, see Note 4)</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36,701,714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38,118,961</w:t>
            </w:r>
          </w:p>
        </w:tc>
      </w:tr>
      <w:tr>
        <w:trPr/>
        <w:tc>
          <w:tcPr>
            <w:tcW w:w="6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current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3,279,203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3,338,390</w:t>
            </w:r>
          </w:p>
        </w:tc>
      </w:tr>
      <w:tr>
        <w:trPr/>
        <w:tc>
          <w:tcPr>
            <w:tcW w:w="6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non-current</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9,035,680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10,677,310</w:t>
            </w:r>
          </w:p>
        </w:tc>
      </w:tr>
      <w:tr>
        <w:trPr/>
        <w:tc>
          <w:tcPr>
            <w:tcW w:w="6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lease liabilities</w:t>
            </w:r>
          </w:p>
        </w:tc>
        <w:tc>
          <w:tcPr>
            <w:tcW w:w="146" w:type="dxa"/>
            <w:tcBorders/>
            <w:vAlign w:val="bottom"/>
          </w:tcPr>
          <w:p>
            <w:pPr>
              <w:pStyle w:val="TableContents"/>
              <w:bidi w:val="0"/>
              <w:spacing w:before="0" w:after="283"/>
              <w:jc w:val="left"/>
              <w:rPr/>
            </w:pPr>
            <w:r>
              <w:rPr/>
              <w:t> </w:t>
            </w:r>
          </w:p>
        </w:tc>
        <w:tc>
          <w:tcPr>
            <w:tcW w:w="30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12,314,883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14,015,700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remaining lease terms and discount rates for financing leases were as follows as of December 31, 2025 and June 30, 2025:</w:t>
      </w:r>
    </w:p>
    <w:tbl>
      <w:tblPr>
        <w:tblW w:w="8266" w:type="dxa"/>
        <w:jc w:val="left"/>
        <w:tblInd w:w="0" w:type="dxa"/>
        <w:tblLayout w:type="fixed"/>
        <w:tblCellMar>
          <w:top w:w="0" w:type="dxa"/>
          <w:left w:w="0" w:type="dxa"/>
          <w:bottom w:w="0" w:type="dxa"/>
          <w:right w:w="0" w:type="dxa"/>
        </w:tblCellMar>
      </w:tblPr>
      <w:tblGrid>
        <w:gridCol w:w="4816"/>
        <w:gridCol w:w="146"/>
        <w:gridCol w:w="1186"/>
        <w:gridCol w:w="455"/>
        <w:gridCol w:w="146"/>
        <w:gridCol w:w="1186"/>
        <w:gridCol w:w="331"/>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lease term and discount rate: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 years</w:t>
            </w:r>
          </w:p>
        </w:tc>
        <w:tc>
          <w:tcPr>
            <w:tcW w:w="4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 years</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4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schedule of maturities of financing lease liabilities (excluding variable payments) as of December 31, 2025:</w:t>
      </w:r>
    </w:p>
    <w:tbl>
      <w:tblPr>
        <w:tblW w:w="5609" w:type="dxa"/>
        <w:jc w:val="left"/>
        <w:tblInd w:w="0" w:type="dxa"/>
        <w:tblLayout w:type="fixed"/>
        <w:tblCellMar>
          <w:top w:w="0" w:type="dxa"/>
          <w:left w:w="0" w:type="dxa"/>
          <w:bottom w:w="0" w:type="dxa"/>
          <w:right w:w="0" w:type="dxa"/>
        </w:tblCellMar>
      </w:tblPr>
      <w:tblGrid>
        <w:gridCol w:w="3886"/>
        <w:gridCol w:w="146"/>
        <w:gridCol w:w="286"/>
        <w:gridCol w:w="1291"/>
      </w:tblGrid>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2,080,635</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3,986,356</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3,753,139</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4,182,754</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14,002,884</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1,688,001</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12,314,883</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LONG-TERM LOAN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 consists of the following:</w:t>
      </w:r>
    </w:p>
    <w:tbl>
      <w:tblPr>
        <w:tblW w:w="10205" w:type="dxa"/>
        <w:jc w:val="left"/>
        <w:tblInd w:w="0" w:type="dxa"/>
        <w:tblLayout w:type="fixed"/>
        <w:tblCellMar>
          <w:top w:w="0" w:type="dxa"/>
          <w:left w:w="0" w:type="dxa"/>
          <w:bottom w:w="0" w:type="dxa"/>
          <w:right w:w="0" w:type="dxa"/>
        </w:tblCellMar>
      </w:tblPr>
      <w:tblGrid>
        <w:gridCol w:w="6836"/>
        <w:gridCol w:w="146"/>
        <w:gridCol w:w="327"/>
        <w:gridCol w:w="1291"/>
        <w:gridCol w:w="146"/>
        <w:gridCol w:w="286"/>
        <w:gridCol w:w="1173"/>
      </w:tblGrid>
      <w:tr>
        <w:trPr/>
        <w:tc>
          <w:tcPr>
            <w:tcW w:w="6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5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6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Chailease International Financial Services (Singapore) Pte. Ltd. (due on August 8, 2027)</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2,101,891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r>
      <w:tr>
        <w:trPr/>
        <w:tc>
          <w:tcPr>
            <w:tcW w:w="6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2,101,891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r>
      <w:tr>
        <w:trPr/>
        <w:tc>
          <w:tcPr>
            <w:tcW w:w="6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Long-term loan – current portion</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1,445,984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r>
      <w:tr>
        <w:trPr/>
        <w:tc>
          <w:tcPr>
            <w:tcW w:w="6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 – non-current portion</w:t>
            </w:r>
          </w:p>
        </w:tc>
        <w:tc>
          <w:tcPr>
            <w:tcW w:w="146" w:type="dxa"/>
            <w:tcBorders/>
            <w:vAlign w:val="bottom"/>
          </w:tcPr>
          <w:p>
            <w:pPr>
              <w:pStyle w:val="TableContents"/>
              <w:bidi w:val="0"/>
              <w:spacing w:before="0" w:after="283"/>
              <w:jc w:val="left"/>
              <w:rPr/>
            </w:pPr>
            <w:r>
              <w:rPr/>
              <w:t> </w:t>
            </w:r>
          </w:p>
        </w:tc>
        <w:tc>
          <w:tcPr>
            <w:tcW w:w="32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1,252,657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11).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repayment schedule for the loan are as follows:</w:t>
      </w:r>
    </w:p>
    <w:tbl>
      <w:tblPr>
        <w:tblW w:w="5625" w:type="dxa"/>
        <w:jc w:val="left"/>
        <w:tblInd w:w="0" w:type="dxa"/>
        <w:tblLayout w:type="fixed"/>
        <w:tblCellMar>
          <w:top w:w="0" w:type="dxa"/>
          <w:left w:w="0" w:type="dxa"/>
          <w:bottom w:w="0" w:type="dxa"/>
          <w:right w:w="0" w:type="dxa"/>
        </w:tblCellMar>
      </w:tblPr>
      <w:tblGrid>
        <w:gridCol w:w="3781"/>
        <w:gridCol w:w="146"/>
        <w:gridCol w:w="286"/>
        <w:gridCol w:w="1126"/>
        <w:gridCol w:w="286"/>
      </w:tblGrid>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828,144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1,130,492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2,129,520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debt issuance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2,101,891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 CONVERTIBLE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Class A ordinary shares, par value $0.0025 per share, of Company (the “Ordinary Shares”), upon the terms and subject to the limitations and conditions set forth in such Pre-Paid Purchase; (ii) 3,419 Class A Ordinary Shares as a commitment fee for the Pre-Paid Purchase facility set forth in the Purchase Agreement (the “Commitment Shares”); and (iii) 102,200 Class A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 (10) trading days prior to each Purchase Notice Date (as defined in the Purchase Agreement). The Company may not issue shares that would cause the Investor to beneficially own more than 9.99% of the Company’s outstanding Ordinary Shares at any time. The Company accounted for the convertible debt as a single instrument in accordance with ASC 470-20, measured at its amortized cost on the consolidated balance sheets. In accordance with ASC470-20-25-20A, the fair value of the Pre-delivery shares (102,200 Class A ordinary share) shall be recorded as an issuance cost to the Convertible note (with the fair value of the Pre-Delivery Shares limited to the net proceeds from the issuance convertible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16,763 Class A Ordinary Shares to the Investor on December 2, 2025 in conversion of $275,000 convertible note balance.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convertible note accounted for at amortized cost as of December 31, 2025 consisted of following:</w:t>
      </w:r>
    </w:p>
    <w:tbl>
      <w:tblPr>
        <w:tblW w:w="9585" w:type="dxa"/>
        <w:jc w:val="left"/>
        <w:tblInd w:w="0" w:type="dxa"/>
        <w:tblLayout w:type="fixed"/>
        <w:tblCellMar>
          <w:top w:w="0" w:type="dxa"/>
          <w:left w:w="0" w:type="dxa"/>
          <w:bottom w:w="0" w:type="dxa"/>
          <w:right w:w="0" w:type="dxa"/>
        </w:tblCellMar>
      </w:tblPr>
      <w:tblGrid>
        <w:gridCol w:w="7666"/>
        <w:gridCol w:w="146"/>
        <w:gridCol w:w="286"/>
        <w:gridCol w:w="1201"/>
        <w:gridCol w:w="286"/>
      </w:tblGrid>
      <w:tr>
        <w:trPr/>
        <w:tc>
          <w:tcPr>
            <w:tcW w:w="7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r>
      <w:tr>
        <w:trPr/>
        <w:tc>
          <w:tcPr>
            <w:tcW w:w="7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principal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OID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for Pre-Delivery Shares related to the issuance of Convertible 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for Convertible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392,605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 RELATED PARTY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records transactions with various related parties. These related parties’ balances as of December 31, 2025 and June 30, 2025 and transactions for the six months ended December 31, 2025 and 2024 are identified as follows: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Related parties with transactions and related party relationships</w:t>
      </w:r>
    </w:p>
    <w:tbl>
      <w:tblPr>
        <w:tblW w:w="10205" w:type="dxa"/>
        <w:jc w:val="left"/>
        <w:tblInd w:w="0" w:type="dxa"/>
        <w:tblLayout w:type="fixed"/>
        <w:tblCellMar>
          <w:top w:w="0" w:type="dxa"/>
          <w:left w:w="0" w:type="dxa"/>
          <w:bottom w:w="0" w:type="dxa"/>
          <w:right w:w="0" w:type="dxa"/>
        </w:tblCellMar>
      </w:tblPr>
      <w:tblGrid>
        <w:gridCol w:w="3854"/>
        <w:gridCol w:w="146"/>
        <w:gridCol w:w="6205"/>
      </w:tblGrid>
      <w:tr>
        <w:trPr/>
        <w:tc>
          <w:tcPr>
            <w:tcW w:w="38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Party</w:t>
            </w:r>
          </w:p>
        </w:tc>
        <w:tc>
          <w:tcPr>
            <w:tcW w:w="146" w:type="dxa"/>
            <w:tcBorders/>
            <w:vAlign w:val="bottom"/>
          </w:tcPr>
          <w:p>
            <w:pPr>
              <w:pStyle w:val="TableContents"/>
              <w:bidi w:val="0"/>
              <w:spacing w:before="0" w:after="283"/>
              <w:jc w:val="left"/>
              <w:rPr/>
            </w:pPr>
            <w:r>
              <w:rPr/>
              <w:t> </w:t>
            </w:r>
          </w:p>
        </w:tc>
        <w:tc>
          <w:tcPr>
            <w:tcW w:w="62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to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Shoucheng Lei</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 Ms. Luan Chen and Mr. Jun Li, shareholders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Dong Zhang</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Mr. Jun Li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Qing Xu</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Ms. Luan Chen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Corporation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Accounts receivable-related parties</w:t>
      </w:r>
    </w:p>
    <w:tbl>
      <w:tblPr>
        <w:tblW w:w="7510" w:type="dxa"/>
        <w:jc w:val="left"/>
        <w:tblInd w:w="0" w:type="dxa"/>
        <w:tblLayout w:type="fixed"/>
        <w:tblCellMar>
          <w:top w:w="0" w:type="dxa"/>
          <w:left w:w="0" w:type="dxa"/>
          <w:bottom w:w="0" w:type="dxa"/>
          <w:right w:w="0" w:type="dxa"/>
        </w:tblCellMar>
      </w:tblPr>
      <w:tblGrid>
        <w:gridCol w:w="4126"/>
        <w:gridCol w:w="146"/>
        <w:gridCol w:w="471"/>
        <w:gridCol w:w="1164"/>
        <w:gridCol w:w="146"/>
        <w:gridCol w:w="286"/>
        <w:gridCol w:w="117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 xml:space="preserve">June 30, </w:t>
              <w:br/>
              <w:t>2025</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616,279</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Limited(2)</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143,277</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Limited(2)</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159,638</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Limited(2)</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99,121</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mainly represented consideration for time charter accounts receivable from Topsheen Shipping Singapore Pte. Ltd, which was collected in current period.</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(2)      The balance represents the accrued management fees from related parties for vessel management services, which was partially collected in current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Contract liabilities-related party</w:t>
      </w:r>
    </w:p>
    <w:tbl>
      <w:tblPr>
        <w:tblW w:w="7330" w:type="dxa"/>
        <w:jc w:val="left"/>
        <w:tblInd w:w="0" w:type="dxa"/>
        <w:tblLayout w:type="fixed"/>
        <w:tblCellMar>
          <w:top w:w="0" w:type="dxa"/>
          <w:left w:w="0" w:type="dxa"/>
          <w:bottom w:w="0" w:type="dxa"/>
          <w:right w:w="0" w:type="dxa"/>
        </w:tblCellMar>
      </w:tblPr>
      <w:tblGrid>
        <w:gridCol w:w="4126"/>
        <w:gridCol w:w="146"/>
        <w:gridCol w:w="378"/>
        <w:gridCol w:w="1257"/>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497,360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represents the advance charter hire payments from Topsheen Shipping Singapore Pte. Ltd.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Due from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the balances due to related parties were as follows:</w:t>
      </w:r>
    </w:p>
    <w:tbl>
      <w:tblPr>
        <w:tblW w:w="7270" w:type="dxa"/>
        <w:jc w:val="left"/>
        <w:tblInd w:w="0" w:type="dxa"/>
        <w:tblLayout w:type="fixed"/>
        <w:tblCellMar>
          <w:top w:w="0" w:type="dxa"/>
          <w:left w:w="0" w:type="dxa"/>
          <w:bottom w:w="0" w:type="dxa"/>
          <w:right w:w="0" w:type="dxa"/>
        </w:tblCellMar>
      </w:tblPr>
      <w:tblGrid>
        <w:gridCol w:w="4066"/>
        <w:gridCol w:w="146"/>
        <w:gridCol w:w="378"/>
        <w:gridCol w:w="1257"/>
        <w:gridCol w:w="146"/>
        <w:gridCol w:w="286"/>
        <w:gridCol w:w="991"/>
      </w:tblGrid>
      <w:tr>
        <w:trPr/>
        <w:tc>
          <w:tcPr>
            <w:tcW w:w="4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412,873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represents the outstanding bunker receivable from Topsheen Shipping Singapore Pte. Ltd for time charter service provided by the Group.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Due to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the balances due to related parties were as follows:</w:t>
      </w:r>
    </w:p>
    <w:tbl>
      <w:tblPr>
        <w:tblW w:w="9055" w:type="dxa"/>
        <w:jc w:val="left"/>
        <w:tblInd w:w="0" w:type="dxa"/>
        <w:tblLayout w:type="fixed"/>
        <w:tblCellMar>
          <w:top w:w="0" w:type="dxa"/>
          <w:left w:w="0" w:type="dxa"/>
          <w:bottom w:w="0" w:type="dxa"/>
          <w:right w:w="0" w:type="dxa"/>
        </w:tblCellMar>
      </w:tblPr>
      <w:tblGrid>
        <w:gridCol w:w="5551"/>
        <w:gridCol w:w="146"/>
        <w:gridCol w:w="305"/>
        <w:gridCol w:w="1330"/>
        <w:gridCol w:w="146"/>
        <w:gridCol w:w="286"/>
        <w:gridCol w:w="1291"/>
      </w:tblGrid>
      <w:tr>
        <w:trPr/>
        <w:tc>
          <w:tcPr>
            <w:tcW w:w="55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36,584</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Ltd(1)</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14,381</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shareholder and affiliate(2)</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21,476,946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24,490,720</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21,502,619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balances mainly represented the expenses paid on behalf of the Group.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balances mainly represented non-interest-bearing loans from Mr. Shoucheng Lei and due on demand. During the six months end December 31, 2025, the Group repaid $3,000,000 of these loans to Mr. Shoucheng Lei.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Services provided to related parties</w:t>
      </w:r>
    </w:p>
    <w:tbl>
      <w:tblPr>
        <w:tblW w:w="10205" w:type="dxa"/>
        <w:jc w:val="left"/>
        <w:tblInd w:w="0" w:type="dxa"/>
        <w:tblLayout w:type="fixed"/>
        <w:tblCellMar>
          <w:top w:w="0" w:type="dxa"/>
          <w:left w:w="0" w:type="dxa"/>
          <w:bottom w:w="0" w:type="dxa"/>
          <w:right w:w="0" w:type="dxa"/>
        </w:tblCellMar>
      </w:tblPr>
      <w:tblGrid>
        <w:gridCol w:w="6638"/>
        <w:gridCol w:w="146"/>
        <w:gridCol w:w="301"/>
        <w:gridCol w:w="1313"/>
        <w:gridCol w:w="146"/>
        <w:gridCol w:w="299"/>
        <w:gridCol w:w="1362"/>
      </w:tblGrid>
      <w:tr>
        <w:trPr/>
        <w:tc>
          <w:tcPr>
            <w:tcW w:w="66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66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 (Time charter &amp; Vessel management services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9,250,107</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9,430,014</w:t>
            </w:r>
          </w:p>
        </w:tc>
      </w:tr>
      <w:tr>
        <w:trPr/>
        <w:tc>
          <w:tcPr>
            <w:tcW w:w="66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 (Vessel management services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699,582</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690,649</w:t>
            </w:r>
          </w:p>
        </w:tc>
      </w:tr>
      <w:tr>
        <w:trPr/>
        <w:tc>
          <w:tcPr>
            <w:tcW w:w="66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707,132</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721,736</w:t>
            </w:r>
          </w:p>
        </w:tc>
      </w:tr>
      <w:tr>
        <w:trPr/>
        <w:tc>
          <w:tcPr>
            <w:tcW w:w="66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 (Time charter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617,624</w:t>
            </w:r>
          </w:p>
        </w:tc>
      </w:tr>
      <w:tr>
        <w:trPr/>
        <w:tc>
          <w:tcPr>
            <w:tcW w:w="66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485,796</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497,079</w:t>
            </w:r>
          </w:p>
        </w:tc>
      </w:tr>
      <w:tr>
        <w:trPr/>
        <w:tc>
          <w:tcPr>
            <w:tcW w:w="66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11,142,617</w:t>
            </w:r>
          </w:p>
        </w:tc>
        <w:tc>
          <w:tcPr>
            <w:tcW w:w="146" w:type="dxa"/>
            <w:tcBorders/>
            <w:vAlign w:val="bottom"/>
          </w:tcPr>
          <w:p>
            <w:pPr>
              <w:pStyle w:val="TableContents"/>
              <w:bidi w:val="0"/>
              <w:spacing w:before="0" w:after="283"/>
              <w:jc w:val="left"/>
              <w:rPr/>
            </w:pPr>
            <w:r>
              <w:rPr/>
              <w:t> </w:t>
            </w:r>
          </w:p>
        </w:tc>
        <w:tc>
          <w:tcPr>
            <w:tcW w:w="29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11,957,102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Group provided time charter service and vessel management services to the related parties. These numbers have been included in the revenue of the unaudited condensed consolidated statements of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Financing lease from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Group has financing leases from a related party. (see Note 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Short-term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office lease expense from a related party</w:t>
      </w:r>
    </w:p>
    <w:tbl>
      <w:tblPr>
        <w:tblW w:w="5588" w:type="dxa"/>
        <w:jc w:val="left"/>
        <w:tblInd w:w="0" w:type="dxa"/>
        <w:tblLayout w:type="fixed"/>
        <w:tblCellMar>
          <w:top w:w="0" w:type="dxa"/>
          <w:left w:w="0" w:type="dxa"/>
          <w:bottom w:w="0" w:type="dxa"/>
          <w:right w:w="0" w:type="dxa"/>
        </w:tblCellMar>
      </w:tblPr>
      <w:tblGrid>
        <w:gridCol w:w="1981"/>
        <w:gridCol w:w="146"/>
        <w:gridCol w:w="675"/>
        <w:gridCol w:w="960"/>
        <w:gridCol w:w="146"/>
        <w:gridCol w:w="414"/>
        <w:gridCol w:w="1266"/>
      </w:tblGrid>
      <w:tr>
        <w:trPr/>
        <w:tc>
          <w:tcPr>
            <w:tcW w:w="1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Jun Li’s affiliate</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13,795</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numbers have been included in the General and administrative expenses of the unaudited condensed consolidated statements of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General and administrative expenses shared with a related party</w:t>
      </w:r>
    </w:p>
    <w:tbl>
      <w:tblPr>
        <w:tblW w:w="7013" w:type="dxa"/>
        <w:jc w:val="left"/>
        <w:tblInd w:w="0" w:type="dxa"/>
        <w:tblLayout w:type="fixed"/>
        <w:tblCellMar>
          <w:top w:w="0" w:type="dxa"/>
          <w:left w:w="0" w:type="dxa"/>
          <w:bottom w:w="0" w:type="dxa"/>
          <w:right w:w="0" w:type="dxa"/>
        </w:tblCellMar>
      </w:tblPr>
      <w:tblGrid>
        <w:gridCol w:w="3406"/>
        <w:gridCol w:w="146"/>
        <w:gridCol w:w="420"/>
        <w:gridCol w:w="1215"/>
        <w:gridCol w:w="146"/>
        <w:gridCol w:w="414"/>
        <w:gridCol w:w="1266"/>
      </w:tblGrid>
      <w:tr>
        <w:trPr/>
        <w:tc>
          <w:tcPr>
            <w:tcW w:w="3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Co., Ltd</w:t>
            </w:r>
          </w:p>
        </w:tc>
        <w:tc>
          <w:tcPr>
            <w:tcW w:w="146"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57,508</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55,997</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Guarantee by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long-term loan totaling $2,101,891 and $2,908,945, respectively, was guaranteed by Topsheen Shipping Singapore Pte. Ltd., shareholders and affiliates. (see Note 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 TAXES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British Virgin Islands Taxation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laws of the British Virgin Islands, the Group’s subsidiary incorporated in BVI is not subject to income tax.</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reconciles the Hong Kong income tax rates to the Group’s effective tax rate for the six months ended December 31, 2025 and 2024:</w:t>
      </w:r>
    </w:p>
    <w:tbl>
      <w:tblPr>
        <w:tblW w:w="5453" w:type="dxa"/>
        <w:jc w:val="left"/>
        <w:tblInd w:w="0" w:type="dxa"/>
        <w:tblLayout w:type="fixed"/>
        <w:tblCellMar>
          <w:top w:w="0" w:type="dxa"/>
          <w:left w:w="0" w:type="dxa"/>
          <w:bottom w:w="0" w:type="dxa"/>
          <w:right w:w="0" w:type="dxa"/>
        </w:tblCellMar>
      </w:tblPr>
      <w:tblGrid>
        <w:gridCol w:w="1846"/>
        <w:gridCol w:w="146"/>
        <w:gridCol w:w="1073"/>
        <w:gridCol w:w="562"/>
        <w:gridCol w:w="146"/>
        <w:gridCol w:w="1055"/>
        <w:gridCol w:w="625"/>
      </w:tblGrid>
      <w:tr>
        <w:trPr/>
        <w:tc>
          <w:tcPr>
            <w:tcW w:w="1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tax rate</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6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6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exemption</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6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w:t>
            </w:r>
          </w:p>
        </w:tc>
        <w:tc>
          <w:tcPr>
            <w:tcW w:w="146" w:type="dxa"/>
            <w:tcBorders/>
            <w:shd w:fill="CCEEFF" w:val="clear"/>
            <w:vAlign w:val="bottom"/>
          </w:tcPr>
          <w:p>
            <w:pPr>
              <w:pStyle w:val="TableContents"/>
              <w:bidi w:val="0"/>
              <w:spacing w:before="0" w:after="283"/>
              <w:jc w:val="left"/>
              <w:rPr/>
            </w:pPr>
            <w:r>
              <w:rPr/>
              <w:t> </w:t>
            </w:r>
          </w:p>
        </w:tc>
        <w:tc>
          <w:tcPr>
            <w:tcW w:w="10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56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6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 SHAREHOLDERS’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on July 4, 2023 as a holding company. The Company’s authorized share capital was $50,000 divided into 500,000,000 ordinary shares of a par value of $0.0001 each upon incorporation (equivalent to 20,000,000 ordinary shares of a par value of $0.0025 each on a post-consolidation basis). The number of ordinary shares issued and outstanding was 92.1 as of July 4, 2023(equivalent to 3.7 shares on a post-consolidation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the Company held its extraordinary shareholder general meeting (the “Meeting”). At the Meeting, the shareholders of the Company adopted the following resolutions: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206,598 Class B Shares after share consolidation), with the par value per share increasing from US$0.0001 to 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Recapitalization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April 15, 2024, the Company effectuated a series of share recapitalizations (the “Recapitalization”). As a result of the Recapitalization, the Company had nominal issuance of 1,000,000 ordinary shares to the existing ordinary shareholders. The Company believes that the Recapitalization should be accounted for on a retroactive basis pursuant to ASC 260. All ordinary shares and per share data for all periods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20, 2025, the Company entered into an Ordinary Share Purchase Agreement with White Lion Capital LLC, a Nevada limited liability company (the “White Lion Capital”). Pursuant to the Purchase Agreement, White Lion Capital is committed to purchase our Class A ordinary shares, par value US$0.0025 per share, with an aggregate gross purchase price of up to $10,000,000 from time to time during the period commencing on August 20, 2025 and ending on the earlier of (i) the date on which White Lion Capital shall have purchased an aggregate number of our Class A ordinary shares equal to the Commitment Amount or (ii) the later of the 18 month anniversary of the Execution Date or the first closing. The Commitment Amount may be increased up to $30,000,000 upon the mutual written consent of White Lion Capital and us.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Issuance for convertible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3,419 Commitment Shares and 102,200 Pre-Delivery Shares to Streeterville Capital, LLC on September 9, 2025 and 16,763 Class A shares on December 2, 2025 in conversion of $275,000 convertible note balance. (see Note 10)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2025, the Company issued 3,350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$210.00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tbl>
      <w:tblPr>
        <w:tblW w:w="4227" w:type="dxa"/>
        <w:jc w:val="left"/>
        <w:tblInd w:w="0" w:type="dxa"/>
        <w:tblLayout w:type="fixed"/>
        <w:tblCellMar>
          <w:top w:w="0" w:type="dxa"/>
          <w:left w:w="0" w:type="dxa"/>
          <w:bottom w:w="0" w:type="dxa"/>
          <w:right w:w="0" w:type="dxa"/>
        </w:tblCellMar>
      </w:tblPr>
      <w:tblGrid>
        <w:gridCol w:w="2806"/>
        <w:gridCol w:w="146"/>
        <w:gridCol w:w="928"/>
        <w:gridCol w:w="347"/>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2025</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average volatility</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warrants activity was as follows:</w:t>
      </w:r>
    </w:p>
    <w:tbl>
      <w:tblPr>
        <w:tblW w:w="10205" w:type="dxa"/>
        <w:jc w:val="left"/>
        <w:tblInd w:w="0" w:type="dxa"/>
        <w:tblLayout w:type="fixed"/>
        <w:tblCellMar>
          <w:top w:w="0" w:type="dxa"/>
          <w:left w:w="0" w:type="dxa"/>
          <w:bottom w:w="0" w:type="dxa"/>
          <w:right w:w="0" w:type="dxa"/>
        </w:tblCellMar>
      </w:tblPr>
      <w:tblGrid>
        <w:gridCol w:w="4252"/>
        <w:gridCol w:w="146"/>
        <w:gridCol w:w="1186"/>
        <w:gridCol w:w="146"/>
        <w:gridCol w:w="1381"/>
        <w:gridCol w:w="146"/>
        <w:gridCol w:w="1364"/>
        <w:gridCol w:w="146"/>
        <w:gridCol w:w="1438"/>
      </w:tblGrid>
      <w:tr>
        <w:trPr/>
        <w:tc>
          <w:tcPr>
            <w:tcW w:w="42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warrants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price </w:t>
              <w:br/>
              <w:t>per hare</w:t>
            </w:r>
          </w:p>
        </w:tc>
        <w:tc>
          <w:tcPr>
            <w:tcW w:w="146" w:type="dxa"/>
            <w:tcBorders/>
            <w:vAlign w:val="bottom"/>
          </w:tcPr>
          <w:p>
            <w:pPr>
              <w:pStyle w:val="TableContents"/>
              <w:bidi w:val="0"/>
              <w:spacing w:before="0" w:after="283"/>
              <w:jc w:val="left"/>
              <w:rPr/>
            </w:pPr>
            <w:r>
              <w:rPr/>
              <w:t> </w:t>
            </w:r>
          </w:p>
        </w:tc>
        <w:tc>
          <w:tcPr>
            <w:tcW w:w="13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life</w:t>
            </w:r>
          </w:p>
        </w:tc>
        <w:tc>
          <w:tcPr>
            <w:tcW w:w="146" w:type="dxa"/>
            <w:tcBorders/>
            <w:vAlign w:val="bottom"/>
          </w:tcPr>
          <w:p>
            <w:pPr>
              <w:pStyle w:val="TableContents"/>
              <w:bidi w:val="0"/>
              <w:spacing w:before="0" w:after="283"/>
              <w:jc w:val="left"/>
              <w:rPr/>
            </w:pPr>
            <w:r>
              <w:rPr/>
              <w:t> </w:t>
            </w:r>
          </w:p>
        </w:tc>
        <w:tc>
          <w:tcPr>
            <w:tcW w:w="14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w:t>
              <w:br/>
              <w:t>dates</w:t>
            </w:r>
          </w:p>
        </w:tc>
      </w:tr>
      <w:tr>
        <w:trPr/>
        <w:tc>
          <w:tcPr>
            <w:tcW w:w="4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of warrants outstanding as of June 30, 2025</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4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March 2025 Warrants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3,350</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210.00</w:t>
            </w:r>
          </w:p>
        </w:tc>
        <w:tc>
          <w:tcPr>
            <w:tcW w:w="146" w:type="dxa"/>
            <w:tcBorders/>
            <w:vAlign w:val="bottom"/>
          </w:tcPr>
          <w:p>
            <w:pPr>
              <w:pStyle w:val="TableContents"/>
              <w:bidi w:val="0"/>
              <w:spacing w:before="0" w:after="283"/>
              <w:jc w:val="left"/>
              <w:rPr/>
            </w:pPr>
            <w:r>
              <w:rPr/>
              <w:t> </w:t>
            </w:r>
          </w:p>
        </w:tc>
        <w:tc>
          <w:tcPr>
            <w:tcW w:w="13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146" w:type="dxa"/>
            <w:tcBorders/>
            <w:vAlign w:val="bottom"/>
          </w:tcPr>
          <w:p>
            <w:pPr>
              <w:pStyle w:val="TableContents"/>
              <w:bidi w:val="0"/>
              <w:spacing w:before="0" w:after="283"/>
              <w:jc w:val="left"/>
              <w:rPr/>
            </w:pPr>
            <w:r>
              <w:rPr/>
              <w:t> </w:t>
            </w:r>
          </w:p>
        </w:tc>
        <w:tc>
          <w:tcPr>
            <w:tcW w:w="1438"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2030</w:t>
            </w:r>
          </w:p>
        </w:tc>
      </w:tr>
      <w:tr>
        <w:trPr/>
        <w:tc>
          <w:tcPr>
            <w:tcW w:w="4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of warrants outstanding and exercisable as of Dec 31, 2025</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3,350</w:t>
            </w:r>
          </w:p>
        </w:tc>
        <w:tc>
          <w:tcPr>
            <w:tcW w:w="146" w:type="dxa"/>
            <w:tcBorders/>
            <w:shd w:fill="CCEEFF" w:val="clear"/>
            <w:vAlign w:val="bottom"/>
          </w:tcPr>
          <w:p>
            <w:pPr>
              <w:pStyle w:val="TableContents"/>
              <w:bidi w:val="0"/>
              <w:spacing w:before="0" w:after="283"/>
              <w:jc w:val="left"/>
              <w:rPr/>
            </w:pPr>
            <w:r>
              <w:rPr/>
              <w:t> </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210.00</w:t>
            </w:r>
          </w:p>
        </w:tc>
        <w:tc>
          <w:tcPr>
            <w:tcW w:w="146"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4.25 years</w:t>
            </w:r>
          </w:p>
        </w:tc>
        <w:tc>
          <w:tcPr>
            <w:tcW w:w="14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Contingencies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consolidated financial position or results of operations or liquidity.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no significant financial nor capital commitments and contingencies existed.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 SUBSEQUENT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evaluated all events and transactions that occurred after December 31, 2025 up through the date when the unaudited condensed consolidated financial statements were issued. Other than the events disclosed elsewhere in the unaudited condensed consolidated financial statements and those disclosed above, there are no other subsequent event occurred that would require adjustment or disclosure in the Group’s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306"/>
      <w:bookmarkEnd w:id="31"/>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Board of Directors and Shareholders of </w:t>
        <w:br/>
        <w:t>Intercont (Cayman) Limited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Combined and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combined and consolidated balance sheets of Intercont (Cayman) Limited and its subsidiaries (the “Company”) as of June 30, 2025 and 2024, and the related combined and consolidated statements of income, changes in shareholders’ equity, and cash flows for each of the three years in the period ended June 30, 2025, and the related notes (collectively referred to as the “combined and consolidated financial statements”). In our opinion, the combined and consolidated financial statements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to the combined and consolidated financial statements, the Company has a significant working capital deficit as of June 30, 2025. The Company’s ability to continue as a going concern is dependent, in part, on receiving financial support from the Company’s primary shareholders. Management’s evaluation of the events and conditions and management’s plans that mitigated these matters are described in Note 1 to these combined and consolidated financial statements. Our opinion is not modified with respect to this matter.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10 to the combined and consolidated financial statements, the Company has significant related party transactions involving revenue, lease arrangement, due to and due from, advances, and expenses paid by and to multiple related parties. The Company’s revenue from related parties was approximately $23.4 million, $16.3 million and $18.8 million for the years ended June 30, 2025, 2024 and 2023, respectively, or approximately 93%, 64% and 58%, respectively, of total revenue of the Company. Our opinion is not modified with respect to that matter.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combined and consolidated financial statements are the responsibility of the Company’s management. Our responsibility is to express an opinion on the Company’s combined and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combined and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combined and consolidated financial statements, whether due to error or fraud, and performing procedures that respond to those risks. Such procedures included examining, on a test basis, evidence regarding the amounts and disclosures in the combined and consolidated financial statements. Our audits also included evaluating the accounting principles used and significant estimates made by management, as well as evaluating the overall presentation of the combined and consolidated financial statements. We believe that our audits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UHY 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307"/>
      <w:bookmarkEnd w:id="32"/>
      <w:r>
        <w:rPr>
          <w:rFonts w:ascii="Times New Roman PS Std;serif" w:hAnsi="Times New Roman PS Std;serif"/>
          <w:b/>
          <w:i w:val="false"/>
          <w:caps w:val="false"/>
          <w:smallCaps w:val="false"/>
          <w:sz w:val="20"/>
        </w:rPr>
        <w:t>INTERCONT (CAYMAN) LIMITED</w:t>
        <w:br/>
        <w:t>COMBINED AND CONSOLIDATED BALANCE SHEETS</w:t>
        <w:br/>
        <w:t xml:space="preserve">(Expressed in U.S. Dollars — except for share data) </w:t>
      </w:r>
    </w:p>
    <w:tbl>
      <w:tblPr>
        <w:tblW w:w="10205" w:type="dxa"/>
        <w:jc w:val="left"/>
        <w:tblInd w:w="0" w:type="dxa"/>
        <w:tblLayout w:type="fixed"/>
        <w:tblCellMar>
          <w:top w:w="0" w:type="dxa"/>
          <w:left w:w="0" w:type="dxa"/>
          <w:bottom w:w="0" w:type="dxa"/>
          <w:right w:w="0" w:type="dxa"/>
        </w:tblCellMar>
      </w:tblPr>
      <w:tblGrid>
        <w:gridCol w:w="6233"/>
        <w:gridCol w:w="146"/>
        <w:gridCol w:w="301"/>
        <w:gridCol w:w="1396"/>
        <w:gridCol w:w="146"/>
        <w:gridCol w:w="301"/>
        <w:gridCol w:w="1396"/>
        <w:gridCol w:w="286"/>
      </w:tblGrid>
      <w:tr>
        <w:trPr/>
        <w:tc>
          <w:tcPr>
            <w:tcW w:w="62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2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6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2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5,648,749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3,751,921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287,193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136,942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788,351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555,070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10,300,869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18,375,425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5,109,072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49,722,428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53,223,618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dry dock cost,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682,637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959,924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asset-operating lease,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4,587,352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287,835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52,446,956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60,038,415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65,147,487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EQUITY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maturity of long-term loan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1,025,427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1,035,506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from customers-related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24,851,679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1,113,103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314,919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3,026,234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3,338,390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3,256,190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34,064,396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35,404,025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1,252,657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2,848,986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non-current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1,572,994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10,677,310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13,948,550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11,929,967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18,810,659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45,994,363</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54,214,684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$0.0001 par value, 500 million shares authorized, 26,675,001 and 25,000,001 share issued and outstanding as of June 30, 2025 and 2024, respectively*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receivable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12,457,680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3,016,900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12,367,670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9,263,403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10,932,803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10,932,803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65,147,487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as described in Note 12.</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bookmarkStart w:id="33" w:name="T308"/>
      <w:bookmarkEnd w:id="33"/>
      <w:r>
        <w:rPr>
          <w:rFonts w:ascii="Times New Roman PS Std;serif" w:hAnsi="Times New Roman PS Std;serif"/>
          <w:b/>
          <w:i w:val="false"/>
          <w:caps w:val="false"/>
          <w:smallCaps w:val="false"/>
          <w:sz w:val="20"/>
        </w:rPr>
        <w:t>INTERCONT (CAYMAN) LIMITED</w:t>
        <w:br/>
        <w:t>COMBINED AND CONSOLIDATED STATEMENTS OF INCOME</w:t>
        <w:br/>
        <w:t>(Expressed in U.S. Dollars — except for share data)</w:t>
      </w:r>
      <w:r>
        <w:rPr>
          <w:rFonts w:ascii="Times New Roman PS Std;serif" w:hAnsi="Times New Roman PS Std;serif"/>
          <w:b w:val="false"/>
          <w:i w:val="false"/>
          <w:caps w:val="false"/>
          <w:smallCaps w:val="false"/>
          <w:sz w:val="20"/>
        </w:rPr>
        <w:t xml:space="preserve"> </w:t>
      </w:r>
    </w:p>
    <w:tbl>
      <w:tblPr>
        <w:tblW w:w="10205" w:type="dxa"/>
        <w:jc w:val="left"/>
        <w:tblInd w:w="0" w:type="dxa"/>
        <w:tblLayout w:type="fixed"/>
        <w:tblCellMar>
          <w:top w:w="0" w:type="dxa"/>
          <w:left w:w="0" w:type="dxa"/>
          <w:bottom w:w="0" w:type="dxa"/>
          <w:right w:w="0" w:type="dxa"/>
        </w:tblCellMar>
      </w:tblPr>
      <w:tblGrid>
        <w:gridCol w:w="3863"/>
        <w:gridCol w:w="146"/>
        <w:gridCol w:w="301"/>
        <w:gridCol w:w="1396"/>
        <w:gridCol w:w="256"/>
        <w:gridCol w:w="146"/>
        <w:gridCol w:w="301"/>
        <w:gridCol w:w="1396"/>
        <w:gridCol w:w="256"/>
        <w:gridCol w:w="146"/>
        <w:gridCol w:w="301"/>
        <w:gridCol w:w="1396"/>
        <w:gridCol w:w="301"/>
      </w:tblGrid>
      <w:tr>
        <w:trPr/>
        <w:tc>
          <w:tcPr>
            <w:tcW w:w="386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196"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third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7,332,097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13,043,409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13,999,534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third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1,761,184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1,879,943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557,726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4,068,128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4,033,195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4,844,888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25,135,681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25,526,936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32,445,557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12,172,641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12,958,301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13,151,715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5,127,060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5,218,970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4,916,597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17,299,701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18,177,271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18,068,312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7,835,980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7,349,665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14,377,245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2,314,051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621,024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2,935,075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2,270,958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876,437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4,900,905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5,078,707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13,500,808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307,225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194,576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(1,911,780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(2,696,117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(2,718,304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450,253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(89,391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(1,796,638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(1,938,639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(2,613,119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Net income attributable to non-controlling interests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16,573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attributable to the Company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10,871,116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Earnings per share –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25,414,248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24,613,698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24,499,999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as described in Note 12.</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309"/>
      <w:bookmarkEnd w:id="34"/>
      <w:r>
        <w:rPr>
          <w:rFonts w:ascii="Times New Roman PS Std;serif" w:hAnsi="Times New Roman PS Std;serif"/>
          <w:b/>
          <w:i w:val="false"/>
          <w:caps w:val="false"/>
          <w:smallCaps w:val="false"/>
          <w:sz w:val="20"/>
        </w:rPr>
        <w:t>INTERCONT (CAYMAN) LIMITED</w:t>
        <w:br/>
        <w:t>COMBINED AND CONSOLIDATED STATEMENTS OF CHANGES IN SHAREHOLDERS’ EQUITY</w:t>
        <w:br/>
        <w:t>FOR THE YEARS ENDED JUNE 30, 2025, 2024 AND 2023</w:t>
        <w:br/>
        <w:t xml:space="preserve">(Expressed in U.S. Dollars — except for share data) </w:t>
      </w:r>
    </w:p>
    <w:tbl>
      <w:tblPr>
        <w:tblW w:w="14116" w:type="dxa"/>
        <w:jc w:val="left"/>
        <w:tblInd w:w="0" w:type="dxa"/>
        <w:tblLayout w:type="fixed"/>
        <w:tblCellMar>
          <w:top w:w="0" w:type="dxa"/>
          <w:left w:w="0" w:type="dxa"/>
          <w:bottom w:w="0" w:type="dxa"/>
          <w:right w:w="0" w:type="dxa"/>
        </w:tblCellMar>
      </w:tblPr>
      <w:tblGrid>
        <w:gridCol w:w="1391"/>
        <w:gridCol w:w="146"/>
        <w:gridCol w:w="1396"/>
        <w:gridCol w:w="146"/>
        <w:gridCol w:w="301"/>
        <w:gridCol w:w="781"/>
        <w:gridCol w:w="146"/>
        <w:gridCol w:w="301"/>
        <w:gridCol w:w="1351"/>
        <w:gridCol w:w="256"/>
        <w:gridCol w:w="146"/>
        <w:gridCol w:w="301"/>
        <w:gridCol w:w="1396"/>
        <w:gridCol w:w="241"/>
        <w:gridCol w:w="146"/>
        <w:gridCol w:w="301"/>
        <w:gridCol w:w="1396"/>
        <w:gridCol w:w="241"/>
        <w:gridCol w:w="146"/>
        <w:gridCol w:w="301"/>
        <w:gridCol w:w="916"/>
        <w:gridCol w:w="241"/>
        <w:gridCol w:w="146"/>
        <w:gridCol w:w="301"/>
        <w:gridCol w:w="1396"/>
        <w:gridCol w:w="286"/>
      </w:tblGrid>
      <w:tr>
        <w:trPr/>
        <w:tc>
          <w:tcPr>
            <w:tcW w:w="139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2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Attributable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Intercont’s Shareholders</w:t>
            </w:r>
          </w:p>
        </w:tc>
        <w:tc>
          <w:tcPr>
            <w:tcW w:w="146" w:type="dxa"/>
            <w:tcBorders/>
            <w:vAlign w:val="bottom"/>
          </w:tcPr>
          <w:p>
            <w:pPr>
              <w:pStyle w:val="TableContents"/>
              <w:bidi w:val="0"/>
              <w:spacing w:before="0" w:after="283"/>
              <w:jc w:val="left"/>
              <w:rPr/>
            </w:pPr>
            <w:r>
              <w:rPr/>
              <w:t> </w:t>
            </w:r>
          </w:p>
        </w:tc>
        <w:tc>
          <w:tcPr>
            <w:tcW w:w="145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bidi w:val="0"/>
              <w:spacing w:before="0" w:after="283"/>
              <w:jc w:val="left"/>
              <w:rPr/>
            </w:pPr>
            <w:r>
              <w:rPr/>
              <w:t> </w:t>
            </w:r>
          </w:p>
        </w:tc>
      </w:tr>
      <w:tr>
        <w:trPr/>
        <w:tc>
          <w:tcPr>
            <w:tcW w:w="13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2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Ordinary Shares</w:t>
            </w:r>
          </w:p>
        </w:tc>
        <w:tc>
          <w:tcPr>
            <w:tcW w:w="146" w:type="dxa"/>
            <w:tcBorders/>
            <w:vAlign w:val="bottom"/>
          </w:tcPr>
          <w:p>
            <w:pPr>
              <w:pStyle w:val="TableContents"/>
              <w:bidi w:val="0"/>
              <w:spacing w:before="0" w:after="283"/>
              <w:jc w:val="left"/>
              <w:rPr/>
            </w:pPr>
            <w:r>
              <w:rPr/>
              <w:t> </w:t>
            </w:r>
          </w:p>
        </w:tc>
        <w:tc>
          <w:tcPr>
            <w:tcW w:w="190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Paid in</w:t>
              <w:br/>
              <w:t>Capital</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Retained</w:t>
              <w:br/>
              <w:t>Earnings</w:t>
            </w:r>
          </w:p>
        </w:tc>
        <w:tc>
          <w:tcPr>
            <w:tcW w:w="146" w:type="dxa"/>
            <w:vMerge w:val="restart"/>
            <w:tcBorders/>
            <w:vAlign w:val="bottom"/>
          </w:tcPr>
          <w:p>
            <w:pPr>
              <w:pStyle w:val="TableContents"/>
              <w:bidi w:val="0"/>
              <w:spacing w:before="0" w:after="283"/>
              <w:jc w:val="left"/>
              <w:rPr/>
            </w:pPr>
            <w:r>
              <w:rPr/>
              <w:t> </w:t>
            </w:r>
          </w:p>
        </w:tc>
        <w:tc>
          <w:tcPr>
            <w:tcW w:w="145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 </w:t>
              <w:br/>
              <w:t>controlling</w:t>
              <w:br/>
              <w:t>interest</w:t>
            </w:r>
          </w:p>
        </w:tc>
        <w:tc>
          <w:tcPr>
            <w:tcW w:w="146" w:type="dxa"/>
            <w:vMerge w:val="restart"/>
            <w:tcBorders/>
            <w:vAlign w:val="bottom"/>
          </w:tcPr>
          <w:p>
            <w:pPr>
              <w:pStyle w:val="TableContents"/>
              <w:bidi w:val="0"/>
              <w:spacing w:before="0" w:after="283"/>
              <w:jc w:val="left"/>
              <w:rPr/>
            </w:pPr>
            <w:r>
              <w:rPr/>
              <w:t> </w:t>
            </w:r>
          </w:p>
        </w:tc>
        <w:tc>
          <w:tcPr>
            <w:tcW w:w="198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3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9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5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83" w:type="dxa"/>
            <w:gridSpan w:val="3"/>
            <w:vMerge w:val="continue"/>
            <w:tcBorders/>
            <w:vAlign w:val="bottom"/>
          </w:tcPr>
          <w:p>
            <w:pPr>
              <w:pStyle w:val="Normal"/>
              <w:bidi w:val="0"/>
              <w:jc w:val="left"/>
              <w:rPr/>
            </w:pPr>
            <w:r>
              <w:rPr/>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24,499,999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10,852,219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72,210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10,935,967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noncontrolling interest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for the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10,871,116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10,887,689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declared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(3,869,368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24,499,999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17,923,335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17,954,288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2,999,935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1,649,985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for the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declared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reorganization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(11,538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25,000,001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3,016,900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9,263,403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10,932,803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Collection of subscription receivable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for the year</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3,104,267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3,104,267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9,440,780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9,440,948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2025</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26,675,001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2,668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12,457,680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12,367,670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as described in Note 12.</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310"/>
      <w:bookmarkEnd w:id="35"/>
      <w:r>
        <w:rPr>
          <w:rFonts w:ascii="Times New Roman PS Std;serif" w:hAnsi="Times New Roman PS Std;serif"/>
          <w:b/>
          <w:i w:val="false"/>
          <w:caps w:val="false"/>
          <w:smallCaps w:val="false"/>
          <w:sz w:val="20"/>
        </w:rPr>
        <w:t>INTERCONT (CAYMAN) LIMITED</w:t>
        <w:br/>
        <w:t>COMBINED AND CONSOLIDATED STATEMENTS OF CASH FLOWS</w:t>
        <w:br/>
        <w:t xml:space="preserve">(Expressed in U.S. Dollars — except for share data) </w:t>
      </w:r>
    </w:p>
    <w:tbl>
      <w:tblPr>
        <w:tblW w:w="10205" w:type="dxa"/>
        <w:jc w:val="left"/>
        <w:tblInd w:w="0" w:type="dxa"/>
        <w:tblLayout w:type="fixed"/>
        <w:tblCellMar>
          <w:top w:w="0" w:type="dxa"/>
          <w:left w:w="0" w:type="dxa"/>
          <w:bottom w:w="0" w:type="dxa"/>
          <w:right w:w="0" w:type="dxa"/>
        </w:tblCellMar>
      </w:tblPr>
      <w:tblGrid>
        <w:gridCol w:w="3593"/>
        <w:gridCol w:w="146"/>
        <w:gridCol w:w="301"/>
        <w:gridCol w:w="1486"/>
        <w:gridCol w:w="256"/>
        <w:gridCol w:w="146"/>
        <w:gridCol w:w="301"/>
        <w:gridCol w:w="1486"/>
        <w:gridCol w:w="256"/>
        <w:gridCol w:w="146"/>
        <w:gridCol w:w="301"/>
        <w:gridCol w:w="1486"/>
        <w:gridCol w:w="301"/>
      </w:tblGrid>
      <w:tr>
        <w:trPr/>
        <w:tc>
          <w:tcPr>
            <w:tcW w:w="35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6"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3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to 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vessels and property and equipment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3,701,462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3,651,694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3,464,821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50,425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71,397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operating lease right-of-use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3,026,967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2,905,872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2,789,731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dry-docking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278,194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159,822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short-term investment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(100,869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discount for long-term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67,350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663,242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(156,792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(103,889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(881,373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(136,942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266,716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(552,292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85,810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from customers-related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219,916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25,612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107,192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784,203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259,055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(126,970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(3,161,875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(2,913,790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(2,788,998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(75,029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234,120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(637,438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(424,612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(389,929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deposit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7,401,485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6,477,442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13,569,094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time deposit through a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(21,500,000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Withdraw of time deposit through a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for dry-docking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(818,697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long-lived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(1,053,967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(656,962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(11,995,575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(11,253,967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10,524,341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(23,995,575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received from a third-party, net of debt issuance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long-term loan from a third-party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(2,986,048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liabilities-principal repayment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(3,387,164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(3,242,237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(3,229,300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to shareholders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(3,869,368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 receipt from a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initial public offering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10,634,261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(891,499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(287,835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private placement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1,649,985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loan deposit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(used in) financing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5,749,310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(16,666,135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3,411,332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increase/(decrease) in cash</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1,896,828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335,648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(7,015,149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beginning of year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3,751,921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3,416,273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10,431,422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end of year</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5,648,749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3,751,921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3,416,273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COMBINED AND CONSOLIDATED STATEMENTS OF CASH FLOWS — (Continued)</w:t>
        <w:br/>
        <w:t>(Expressed in U.S. Dollars — except for share data)</w:t>
      </w:r>
    </w:p>
    <w:tbl>
      <w:tblPr>
        <w:tblW w:w="10205" w:type="dxa"/>
        <w:jc w:val="left"/>
        <w:tblInd w:w="0" w:type="dxa"/>
        <w:tblLayout w:type="fixed"/>
        <w:tblCellMar>
          <w:top w:w="0" w:type="dxa"/>
          <w:left w:w="0" w:type="dxa"/>
          <w:bottom w:w="0" w:type="dxa"/>
          <w:right w:w="0" w:type="dxa"/>
        </w:tblCellMar>
      </w:tblPr>
      <w:tblGrid>
        <w:gridCol w:w="5486"/>
        <w:gridCol w:w="146"/>
        <w:gridCol w:w="286"/>
        <w:gridCol w:w="1126"/>
        <w:gridCol w:w="146"/>
        <w:gridCol w:w="286"/>
        <w:gridCol w:w="1126"/>
        <w:gridCol w:w="146"/>
        <w:gridCol w:w="286"/>
        <w:gridCol w:w="1171"/>
      </w:tblGrid>
      <w:tr>
        <w:trPr/>
        <w:tc>
          <w:tcPr>
            <w:tcW w:w="5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5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5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5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information: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1,603,765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2,344,212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2,309,052</w:t>
            </w:r>
          </w:p>
        </w:tc>
      </w:tr>
      <w:tr>
        <w:trPr/>
        <w:tc>
          <w:tcPr>
            <w:tcW w:w="5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transactions: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 to fixed assets through long term account payable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1,405,544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4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deferred IPO cost to 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1,193,313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4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warrant issued for underwriter services and reclassified to additional paid-in capital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386,644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311"/>
      <w:bookmarkEnd w:id="36"/>
      <w:r>
        <w:rPr>
          <w:rFonts w:ascii="Times New Roman PS Std;serif" w:hAnsi="Times New Roman PS Std;serif"/>
          <w:b/>
          <w:i w:val="false"/>
          <w:caps w:val="false"/>
          <w:smallCaps w:val="false"/>
          <w:sz w:val="20"/>
        </w:rPr>
        <w:t>INTERCONT (CAYMAN) LIMITED</w:t>
        <w:br/>
        <w:t>NOTES TO COMBINED AND CONSOLIDATED FINANCIAL STATEMENTS</w:t>
        <w:br/>
        <w:t xml:space="preserve">(Expressed in U.S. Dollars — except for share data)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ORGANIZATION AND BUSINESS DESCRIPTION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(Cayman) Limited (“Intercont” or the “Company”) was established under the laws of the Cayman Islands on July 4, 2023 as a holding company. The Company, through its subsidiaries (collectively, the “Group”) listed below, are principally engaged time charter service and vessel management services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Reorganization, the Company’s subsidiaries are as follows:</w:t>
      </w:r>
    </w:p>
    <w:tbl>
      <w:tblPr>
        <w:tblW w:w="10205" w:type="dxa"/>
        <w:jc w:val="left"/>
        <w:tblInd w:w="0" w:type="dxa"/>
        <w:tblLayout w:type="fixed"/>
        <w:tblCellMar>
          <w:top w:w="0" w:type="dxa"/>
          <w:left w:w="0" w:type="dxa"/>
          <w:bottom w:w="0" w:type="dxa"/>
          <w:right w:w="0" w:type="dxa"/>
        </w:tblCellMar>
      </w:tblPr>
      <w:tblGrid>
        <w:gridCol w:w="2337"/>
        <w:gridCol w:w="146"/>
        <w:gridCol w:w="2011"/>
        <w:gridCol w:w="146"/>
        <w:gridCol w:w="1807"/>
        <w:gridCol w:w="146"/>
        <w:gridCol w:w="1397"/>
        <w:gridCol w:w="146"/>
        <w:gridCol w:w="2069"/>
      </w:tblGrid>
      <w:tr>
        <w:trPr/>
        <w:tc>
          <w:tcPr>
            <w:tcW w:w="2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Incorporation</w:t>
            </w:r>
          </w:p>
        </w:tc>
        <w:tc>
          <w:tcPr>
            <w:tcW w:w="146" w:type="dxa"/>
            <w:tcBorders/>
            <w:vAlign w:val="bottom"/>
          </w:tcPr>
          <w:p>
            <w:pPr>
              <w:pStyle w:val="TableContents"/>
              <w:bidi w:val="0"/>
              <w:spacing w:before="0" w:after="283"/>
              <w:jc w:val="left"/>
              <w:rPr/>
            </w:pPr>
            <w:r>
              <w:rPr/>
              <w:t> </w:t>
            </w:r>
          </w:p>
        </w:tc>
        <w:tc>
          <w:tcPr>
            <w:tcW w:w="18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Jurisdiction of </w:t>
              <w:br/>
              <w:t>Formation</w:t>
            </w:r>
          </w:p>
        </w:tc>
        <w:tc>
          <w:tcPr>
            <w:tcW w:w="146" w:type="dxa"/>
            <w:tcBorders/>
            <w:vAlign w:val="bottom"/>
          </w:tcPr>
          <w:p>
            <w:pPr>
              <w:pStyle w:val="TableContents"/>
              <w:bidi w:val="0"/>
              <w:spacing w:before="0" w:after="283"/>
              <w:jc w:val="left"/>
              <w:rPr/>
            </w:pPr>
            <w:r>
              <w:rPr/>
              <w:t> </w:t>
            </w:r>
          </w:p>
        </w:tc>
        <w:tc>
          <w:tcPr>
            <w:tcW w:w="13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direct/indirect </w:t>
              <w:br/>
              <w:t xml:space="preserve">Economic </w:t>
              <w:br/>
              <w:t>Ownership</w:t>
            </w:r>
          </w:p>
        </w:tc>
        <w:tc>
          <w:tcPr>
            <w:tcW w:w="146" w:type="dxa"/>
            <w:tcBorders/>
            <w:vAlign w:val="bottom"/>
          </w:tcPr>
          <w:p>
            <w:pPr>
              <w:pStyle w:val="TableContents"/>
              <w:bidi w:val="0"/>
              <w:spacing w:before="0" w:after="283"/>
              <w:jc w:val="left"/>
              <w:rPr/>
            </w:pPr>
            <w:r>
              <w:rPr/>
              <w:t> </w:t>
            </w:r>
          </w:p>
        </w:tc>
        <w:tc>
          <w:tcPr>
            <w:tcW w:w="20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Activities</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Fortune Ocean Holdings Limited (“Fortune Ocean”)</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22, 2024</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(“BVI”)</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Holding</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Wisdom Shipping Management Co., Limited (“Top Wisdom”)</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Shipping Limited (“Top Moral”)</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12,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Legend Shipping Co., Limited (“Top Legend”)</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6,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 International (HK) Limited (“Top Creation”)</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2011</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Bright Marine Service Co., Limited (“Max Bright”)</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 2014</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Openwindow Technology Pte. Ltd. (“Openwindow”)</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of pulp, paper and paperboard</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the Company, through a series of transactions which is accounted for as a reorganization of entities under a common control (the “Reorganization”), became the ultimate parent of its subsidiaries.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reorganization of the legal structure was completed on March 27, 2024. The reorganization involved: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formation of the Company’s wholly owned subsidiary-Openwindow on July 28, 2023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formation of Fortune Ocean on January 22, 2024 and all the equity interests of Top Wisdom, Top Moral, Top Legend, Top Creation and Max Bright were transferred to Fortune Ocean on March 14, 2024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the shareholders’ equity interests in Fortune Ocean were transferred to the Company on March 27, 2024 under common control and at nominal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before and after the reorganization, the Company, together with its subsidiaries, is effectively controlled by the same group of the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combined and consolidated financial statements in accordance with ASC 805-50-45-5.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 ORGANIZATION AND BUSINESS DESCRIPTION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Going concern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its liquidity, the Group monitors and analyzes its cash on hand, ability to generate sufficient revenue sources in the future and operating and capital expenditure commitments. As of June 30, 2025, the Group had cash of approximately $5,648,749. As of June 30, 2025 and 2024, the Group’s working capital deficit was $15,688,971 and $30,294,954.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September 30, 2025, the Company had cash and cash equivalents of $8,285,084.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ability for the Group to raise finances, the management has alleviated the substantial doubt about the Group’s ability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combined and consolidated financial statements have been prepared in accordance with accounting principles generally accepted in the United States of America (“U.S. GAAP”) and pursuant to the rules and regulations of the Securities Exchange Commission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combination and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reorganization in Note 1 (“the Reorganization”) was accounted for as restructuring of entities under common control, the accompanying combined and consolidated financial statements have been prepared by using historical cost basis and include the assets, liabilities, revenue, expenses and cash flows that were directly attributable to these entities for all periods presented. The financial statements presented herein represent (1) up until the date of the consummation of the Reorganization, the combined financial statements of the Company, Fortune Ocean, Top Wisdom, Top Moral, Top Legend, Top Creation and Openwindow; (2) subsequent to the consummation of the Reorganization, the consolidated financial statements of the Company and its subsidiaries. All intercompany transactions and balances have been eliminated upon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Uses of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combined and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combined and consolidated financial statements. Significant accounting estimates required to be made by management include, but are not limited to revenue recognition, impairment of long-lived assets and salvage value of the owned vessels.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translation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and consolidated statements of income.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disclosed, the fair value of the Group’s financial instruments, including cash, accounts receivable, prepayment and other assets, due from related parties, accounts payable, advance from customers, due to related parties, accrued expenses and current maturity of long-term loan approximates their recorded values. The Group determined that the carrying value of the long-term of loans approximated their fair value by comparing the stated loan interest rate to the rate charged by similar financial institutions.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comprises cash at banks and on hand, which includes deposits with original maturities of three months or less with commercial banks.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Expected credit losses of receivables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years ended June 30, 2025, 2024 and 2023.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years ended June 30, 2025, 2024 and 2023, the Group provided allowance for credit losses of nil.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recorded at cost. Depreciation is provided in amounts sufficient to amortize the cost of the related assets over their useful lives using the straight-line method, as follows:</w:t>
      </w:r>
    </w:p>
    <w:tbl>
      <w:tblPr>
        <w:tblW w:w="4618" w:type="dxa"/>
        <w:jc w:val="left"/>
        <w:tblInd w:w="0" w:type="dxa"/>
        <w:tblLayout w:type="fixed"/>
        <w:tblCellMar>
          <w:top w:w="0" w:type="dxa"/>
          <w:left w:w="0" w:type="dxa"/>
          <w:bottom w:w="0" w:type="dxa"/>
          <w:right w:w="0" w:type="dxa"/>
        </w:tblCellMar>
      </w:tblPr>
      <w:tblGrid>
        <w:gridCol w:w="3241"/>
        <w:gridCol w:w="146"/>
        <w:gridCol w:w="1231"/>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Useful life</w:t>
            </w:r>
          </w:p>
        </w:tc>
      </w:tr>
      <w:tr>
        <w:trPr/>
        <w:tc>
          <w:tcPr>
            <w:tcW w:w="3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electronic equipment</w:t>
            </w:r>
          </w:p>
        </w:tc>
        <w:tc>
          <w:tcPr>
            <w:tcW w:w="146"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combined and consolidated statements of income in other income or expenses. Depreciation expense was $2,148, $1,609 and $1,745 for the years ended June 30, 2025, 2024 and 2023,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Vessels,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under financing leases are also included in this caption on the combined and consolidated balance sheets.</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Group concluded that events and circumstances did not trigger the existence of potential impairment of its vessels and other long-lived assets and that step one of the impairment analysis was not required.</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dry docking cost, net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capitalized as part of the drydocking consist principally of the actual costs incurred at the yard, and expenses relating to spare parts, paints, lubricants and services incurred solely during the drydocking or special survey period. As of June 30, 2025 and 2024, the deferred dry-docking cost, net was $682,637 and $959,924, respectively. For the years ended June 30, 2025, 2024 and 2023, the amortization expense for the deferred dry-docking costs amounted to $277,288, $278,194 and $159,822,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 term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IPO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costs consist of underwriting, legal and other expenses incurred through the balance sheet date that are directly related to the proposed offering and that would be charged to shareholders’ equity upon the completion of the proposed offering. As of June 30, 2025 and 2024, the deferred IPO costs were $nil and $287,835,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Reclassifications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prior period balances have been reclassified to conform to the current period presentation in the combined and consolidated financial statements and the accompanying notes. These reclassifications had no effect on previously reported net income (loss), total assets, or shareholders’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engaged in vessels rental and management services and primarily derives its revenue from time charter contracts and provides vessel management service.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1: Identify the contract(s) with a customer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2: Identify the performance obligations in the contract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3: Determine the transaction price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4: Allocate the transaction price to the performance obligations in the contract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5: Recognize revenue when (or as) the entity satisfies a performance obligation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Time charter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 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Vessel management services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Disaggregation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disaggregated revenues by revenue streams were as follows:</w:t>
      </w:r>
    </w:p>
    <w:tbl>
      <w:tblPr>
        <w:tblW w:w="8935" w:type="dxa"/>
        <w:jc w:val="left"/>
        <w:tblInd w:w="0" w:type="dxa"/>
        <w:tblLayout w:type="fixed"/>
        <w:tblCellMar>
          <w:top w:w="0" w:type="dxa"/>
          <w:left w:w="0" w:type="dxa"/>
          <w:bottom w:w="0" w:type="dxa"/>
          <w:right w:w="0" w:type="dxa"/>
        </w:tblCellMar>
      </w:tblPr>
      <w:tblGrid>
        <w:gridCol w:w="3856"/>
        <w:gridCol w:w="146"/>
        <w:gridCol w:w="286"/>
        <w:gridCol w:w="1246"/>
        <w:gridCol w:w="146"/>
        <w:gridCol w:w="286"/>
        <w:gridCol w:w="1246"/>
        <w:gridCol w:w="146"/>
        <w:gridCol w:w="286"/>
        <w:gridCol w:w="1291"/>
      </w:tblGrid>
      <w:tr>
        <w:trPr/>
        <w:tc>
          <w:tcPr>
            <w:tcW w:w="385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93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385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19,613,798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27,042,943</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5,829,312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5,913,138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5,402,614</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25,135,681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32,445,557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disaggregated revenues by customer location were as follows:</w:t>
      </w:r>
    </w:p>
    <w:tbl>
      <w:tblPr>
        <w:tblW w:w="6895" w:type="dxa"/>
        <w:jc w:val="left"/>
        <w:tblInd w:w="0" w:type="dxa"/>
        <w:tblLayout w:type="fixed"/>
        <w:tblCellMar>
          <w:top w:w="0" w:type="dxa"/>
          <w:left w:w="0" w:type="dxa"/>
          <w:bottom w:w="0" w:type="dxa"/>
          <w:right w:w="0" w:type="dxa"/>
        </w:tblCellMar>
      </w:tblPr>
      <w:tblGrid>
        <w:gridCol w:w="1816"/>
        <w:gridCol w:w="146"/>
        <w:gridCol w:w="286"/>
        <w:gridCol w:w="1246"/>
        <w:gridCol w:w="146"/>
        <w:gridCol w:w="286"/>
        <w:gridCol w:w="1246"/>
        <w:gridCol w:w="146"/>
        <w:gridCol w:w="286"/>
        <w:gridCol w:w="1291"/>
      </w:tblGrid>
      <w:tr>
        <w:trPr/>
        <w:tc>
          <w:tcPr>
            <w:tcW w:w="181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93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18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18,020,107</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S.A.R.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4,068,128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4,088,106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4,262,950</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BVI</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4,755,737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6,243,123</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countries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1,761,184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4,401,392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3,919,377</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25,135,681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32,445,557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contract liability exists when the Group has received consideration prior to it being earned. These amounts are recognized as revenue over the charter period. As of June 30, 2025, and2024, contract liabilities amounted to $433,125, and $213,209, respectively, which were presented as “advance from customers-related party” in balance sheet. All contract liabilities as of June 30, 2024 have been recognized as revenue for the year ended June 30, 2025. As of June 30, 2023, contract liabilities amounted to $187,597, which was presented as “advance from customers” in balance sheet. All contract liabilities as of June 30, 2023 have been recognized as revenue for the year ended June 30,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lease contracts for vessels and office space. Leases are classified as either operating leases or finance leases, based on an assessment of the terms of the lease. The Group records lease liabilities and right-of-use assets on its combined and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with a lease term not more than one year and without a purchase option (short-term leases), the Group records operating lease expense in its combined and consolidated statements of income on a straight-line basis over the lease term and record variable lease payments as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current income taxes in accordance with the laws of the relevant tax authorities. Deferred income taxes are recognized when temporary differences exist between the tax bases of assets and liabilities and their reported amounts in the combined and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Earnings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years ended June 30, 2025, 2024 and 2023, the weighted average number of shares used in the basic and diluted earnings per share calculation were 25,414,248, 24,613,698 and 24,499,999,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does not review segment assets and segment expenses at a level different than what is reported in the Company’s Combined and Consolidated Balance Sheets and Combined and Consolidated Statements of Income. Additionally, the CODM regularly receives information about the Company’s capital expenditures which are reported in the Company’s Combined and Consolidated Statement of Cash Flows as purchase of long-lived assets under 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other segment items include research and development expenses related to seaborne innovational business with current research direction of seaborne pulping for the years ended June 30, 2025, 2024 and 2023.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all revenue is generated outside of the United States. For disaggregated revenues by revenue streams and customer location, please see Revenue Recognition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long-lived assets consist primarily of vessels and property and equipment, all of which are located in outside of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 of risks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Concentration of 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that potentially subject the Group to a significant concentration of credit risk primarily consist of cash and other current assets. The maximum exposure of such assets to credit risk is their carrying amounts at the balance sheet dates. As of June 30, 2025, and 2024, the aggregate amount of cash of $5,441,407 and $3,411,646,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June 30, 2025 and 2024, the Company’s uninsured cash balance was approximately $5,478,297 and $3,609,211,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Significant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revenues. For the year ended June 30, 2023, Customer A (Topsheen Shipping Singapore Pte. Ltd., a related party), Customer B and Customer C accounted for approximately 43%, 19% and 12%, respectively, of the Group’s total revenues. As of June 30, 2025, Customer A (Topsheen Shipping Singapore Pte. Ltd., a related party), Customer D, Customer G (Meida Shipping Co., Limited, a related party) and Customer E (Tongda Shipping Co., Limited, a related party) accounted for approximately 47%, 22%, 12%and 11%, respectively, of the Group’s accounts receivable and accounts receivable-related parties. As of June 30, 2024, Customer D, Customer F (Keen Best Shipping Co Limited, a related party) and Customer A (Topsheen Shipping Singapore Pte. Ltd., a related party) accounted for approximately 66%, 22% and 12%, respectively, of the Group’s accounts receivable and accounts receivable-related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Significant 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2025, Supplier A accounted for approximately 14% of the Group’s total cost of revenues. For the year ended June 30, 2024, Supplier A accounted for approximately 16% of the Group’s total cost of revenues. For the year ended June 30, 2023, Supplier A and Supplier B accounted for approximately 20% and 12% of the Group’s total cost of revenues, respectively. As of June 30, 2025 and 2024, no supplier accounted for more than 10% of the Group’s total accounts payable.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the applicability and impact of all accounting standards updates (“ASUs”). Management periodically reviews new accounting standards that are issued.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combined and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Group is currently evaluating these new disclosure requirements and does not expect the adoption to have a material impact.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combined and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Group is currently evaluating these new disclosure requirements and does not expect the adoption to have a material impact.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believe other recently issued but not yet effective accounting standards, if currently adopted, would have a material effect on the Group’s combined and consolidated balance sheets, statements of income and statements of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PREPAYMENTS AND OTHER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5052" w:type="dxa"/>
        <w:jc w:val="left"/>
        <w:tblInd w:w="0" w:type="dxa"/>
        <w:tblLayout w:type="fixed"/>
        <w:tblCellMar>
          <w:top w:w="0" w:type="dxa"/>
          <w:left w:w="0" w:type="dxa"/>
          <w:bottom w:w="0" w:type="dxa"/>
          <w:right w:w="0" w:type="dxa"/>
        </w:tblCellMar>
      </w:tblPr>
      <w:tblGrid>
        <w:gridCol w:w="2251"/>
        <w:gridCol w:w="146"/>
        <w:gridCol w:w="286"/>
        <w:gridCol w:w="946"/>
        <w:gridCol w:w="146"/>
        <w:gridCol w:w="286"/>
        <w:gridCol w:w="991"/>
      </w:tblGrid>
      <w:tr>
        <w:trPr/>
        <w:tc>
          <w:tcPr>
            <w:tcW w:w="2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crew</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267,165</w:t>
            </w:r>
          </w:p>
        </w:tc>
      </w:tr>
      <w:tr>
        <w:trPr/>
        <w:tc>
          <w:tcPr>
            <w:tcW w:w="2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employee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211,375</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76,530</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788,351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555,070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PREPAYMENTS AND OTHER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non-current assets consisted of the following:</w:t>
      </w:r>
    </w:p>
    <w:tbl>
      <w:tblPr>
        <w:tblW w:w="5277" w:type="dxa"/>
        <w:jc w:val="left"/>
        <w:tblInd w:w="0" w:type="dxa"/>
        <w:tblLayout w:type="fixed"/>
        <w:tblCellMar>
          <w:top w:w="0" w:type="dxa"/>
          <w:left w:w="0" w:type="dxa"/>
          <w:bottom w:w="0" w:type="dxa"/>
          <w:right w:w="0" w:type="dxa"/>
        </w:tblCellMar>
      </w:tblPr>
      <w:tblGrid>
        <w:gridCol w:w="2476"/>
        <w:gridCol w:w="146"/>
        <w:gridCol w:w="286"/>
        <w:gridCol w:w="946"/>
        <w:gridCol w:w="146"/>
        <w:gridCol w:w="286"/>
        <w:gridCol w:w="991"/>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security deposit(2)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Rental deposit represents a deposit of $500,000 paid to the lessor of Top Advancer (see Note 8), which is expected to be received in December 2025 upon the lease’s expiration.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is long-term loan security deposit of $475,000, which is expected to be collected at the end of long-term loan agreement (see Note 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VESSELS, NET</w:t>
      </w:r>
    </w:p>
    <w:tbl>
      <w:tblPr>
        <w:tblW w:w="8217" w:type="dxa"/>
        <w:jc w:val="left"/>
        <w:tblInd w:w="0" w:type="dxa"/>
        <w:tblLayout w:type="fixed"/>
        <w:tblCellMar>
          <w:top w:w="0" w:type="dxa"/>
          <w:left w:w="0" w:type="dxa"/>
          <w:bottom w:w="0" w:type="dxa"/>
          <w:right w:w="0" w:type="dxa"/>
        </w:tblCellMar>
      </w:tblPr>
      <w:tblGrid>
        <w:gridCol w:w="2581"/>
        <w:gridCol w:w="146"/>
        <w:gridCol w:w="286"/>
        <w:gridCol w:w="1246"/>
        <w:gridCol w:w="146"/>
        <w:gridCol w:w="286"/>
        <w:gridCol w:w="1321"/>
        <w:gridCol w:w="241"/>
        <w:gridCol w:w="146"/>
        <w:gridCol w:w="286"/>
        <w:gridCol w:w="1246"/>
        <w:gridCol w:w="286"/>
      </w:tblGrid>
      <w:tr>
        <w:trPr/>
        <w:tc>
          <w:tcPr>
            <w:tcW w:w="25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Vessels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68,191,736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(13,377,069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54,814,667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2,059,036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(3,650,085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(1,591,049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70,250,772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(17,027,154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53,223,618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(3,699,314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(3,501,190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70,448,896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(20,726,468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49,722,428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balances as of June 30, 2025 and 2024 are analyzed in the following tables:</w:t>
      </w:r>
    </w:p>
    <w:tbl>
      <w:tblPr>
        <w:tblW w:w="8097" w:type="dxa"/>
        <w:jc w:val="left"/>
        <w:tblInd w:w="0" w:type="dxa"/>
        <w:tblLayout w:type="fixed"/>
        <w:tblCellMar>
          <w:top w:w="0" w:type="dxa"/>
          <w:left w:w="0" w:type="dxa"/>
          <w:bottom w:w="0" w:type="dxa"/>
          <w:right w:w="0" w:type="dxa"/>
        </w:tblCellMar>
      </w:tblPr>
      <w:tblGrid>
        <w:gridCol w:w="2581"/>
        <w:gridCol w:w="146"/>
        <w:gridCol w:w="286"/>
        <w:gridCol w:w="1246"/>
        <w:gridCol w:w="146"/>
        <w:gridCol w:w="286"/>
        <w:gridCol w:w="1201"/>
        <w:gridCol w:w="241"/>
        <w:gridCol w:w="146"/>
        <w:gridCol w:w="286"/>
        <w:gridCol w:w="1246"/>
        <w:gridCol w:w="286"/>
      </w:tblGrid>
      <w:tr>
        <w:trPr/>
        <w:tc>
          <w:tcPr>
            <w:tcW w:w="25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Owned Vessel*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(758,229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13,336,561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(1,624,776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12,470,014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(2,491,323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11,603,467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4044"/>
        <w:gridCol w:w="146"/>
        <w:gridCol w:w="301"/>
        <w:gridCol w:w="1396"/>
        <w:gridCol w:w="146"/>
        <w:gridCol w:w="301"/>
        <w:gridCol w:w="1486"/>
        <w:gridCol w:w="256"/>
        <w:gridCol w:w="146"/>
        <w:gridCol w:w="301"/>
        <w:gridCol w:w="1396"/>
        <w:gridCol w:w="286"/>
      </w:tblGrid>
      <w:tr>
        <w:trPr/>
        <w:tc>
          <w:tcPr>
            <w:tcW w:w="404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4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Right-of-use assets under finance lease**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54,096,946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(12,618,840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41,478,106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2,059,036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(2,783,538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56,155,982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(15,402,378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40,753,604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(2,832,767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(2,634,643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56,354,106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(18,235,145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38,118,961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Owned Vessel: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On August 14, 2022, the Group took delivery of the Top Brilliance, a 2008-built vessel of 56,823 dwt (Deadweight Tonnage), from an unrelated third party, for an acquisition cost of $14,094,790. Depreciation expense amounted to $866,547, $866,547 and $758,229 for the years ended June 30, 2025, 2024 and 2023,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 VESSELS,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i w:val="false"/>
          <w:caps w:val="false"/>
          <w:smallCaps w:val="false"/>
          <w:sz w:val="18"/>
        </w:rPr>
        <w:t>**      Right-of-use</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i w:val="false"/>
          <w:caps w:val="false"/>
          <w:smallCaps w:val="false"/>
          <w:sz w:val="18"/>
        </w:rPr>
        <w:t>assets under finance lease: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 September, 2018, the Group took delivery of Top Diligence, a 2018-built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$26,821,639 and financing lease liabilities of $17,710,000 on the lease beginning date. (see Note 8)</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 January, 2019, the Group took delivery of Top Elegance, a 2019-built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$27,275,307 and financing lease liabilities of $17,710,000 on the lease beginning date. (see Note 8)</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During the year ended June 30, 2024, the Group completed the installation of desulfurizing towers on Top Diligence and Top Elegance. The original value of $2,059,036 is depreciated during the useful life.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Depreciation expense for the vessels under finance lease was $2,832,767, $2,783,538 and $2,704,847 for the years ended June 30, 2025, 2024 and 2023,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w:t>
      </w:r>
      <w:r>
        <w:rPr>
          <w:rFonts w:ascii="Times New Roman PS Std;serif" w:hAnsi="Times New Roman PS Std;serif"/>
          <w:b/>
          <w:i w:val="false"/>
          <w:caps/>
          <w:sz w:val="20"/>
        </w:rPr>
        <w:t>Short term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the Group’s short-term investments are comprised of the following:</w:t>
      </w:r>
    </w:p>
    <w:tbl>
      <w:tblPr>
        <w:tblW w:w="5395" w:type="dxa"/>
        <w:jc w:val="left"/>
        <w:tblInd w:w="0" w:type="dxa"/>
        <w:tblLayout w:type="fixed"/>
        <w:tblCellMar>
          <w:top w:w="0" w:type="dxa"/>
          <w:left w:w="0" w:type="dxa"/>
          <w:bottom w:w="0" w:type="dxa"/>
          <w:right w:w="0" w:type="dxa"/>
        </w:tblCellMar>
      </w:tblPr>
      <w:tblGrid>
        <w:gridCol w:w="2476"/>
        <w:gridCol w:w="146"/>
        <w:gridCol w:w="286"/>
        <w:gridCol w:w="1246"/>
        <w:gridCol w:w="146"/>
        <w:gridCol w:w="425"/>
        <w:gridCol w:w="670"/>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investment fund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10,300,869</w:t>
            </w:r>
          </w:p>
        </w:tc>
        <w:tc>
          <w:tcPr>
            <w:tcW w:w="146"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$10,280,280 after deducting redemption fees and bank charges.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ACCRUED EXPENSES AND OTHER LIABITIES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5817" w:type="dxa"/>
        <w:jc w:val="left"/>
        <w:tblInd w:w="0" w:type="dxa"/>
        <w:tblLayout w:type="fixed"/>
        <w:tblCellMar>
          <w:top w:w="0" w:type="dxa"/>
          <w:left w:w="0" w:type="dxa"/>
          <w:bottom w:w="0" w:type="dxa"/>
          <w:right w:w="0" w:type="dxa"/>
        </w:tblCellMar>
      </w:tblPr>
      <w:tblGrid>
        <w:gridCol w:w="2836"/>
        <w:gridCol w:w="146"/>
        <w:gridCol w:w="286"/>
        <w:gridCol w:w="1126"/>
        <w:gridCol w:w="146"/>
        <w:gridCol w:w="286"/>
        <w:gridCol w:w="99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welfare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660,589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116,054</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402,458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143,420</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55,445</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1,113,103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314,919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LONG-TERM PAYABLE</w:t>
      </w:r>
    </w:p>
    <w:tbl>
      <w:tblPr>
        <w:tblW w:w="6192" w:type="dxa"/>
        <w:jc w:val="left"/>
        <w:tblInd w:w="0" w:type="dxa"/>
        <w:tblLayout w:type="fixed"/>
        <w:tblCellMar>
          <w:top w:w="0" w:type="dxa"/>
          <w:left w:w="0" w:type="dxa"/>
          <w:bottom w:w="0" w:type="dxa"/>
          <w:right w:w="0" w:type="dxa"/>
        </w:tblCellMar>
      </w:tblPr>
      <w:tblGrid>
        <w:gridCol w:w="3211"/>
        <w:gridCol w:w="146"/>
        <w:gridCol w:w="286"/>
        <w:gridCol w:w="946"/>
        <w:gridCol w:w="146"/>
        <w:gridCol w:w="286"/>
        <w:gridCol w:w="1171"/>
      </w:tblGrid>
      <w:tr>
        <w:trPr/>
        <w:tc>
          <w:tcPr>
            <w:tcW w:w="3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 xml:space="preserve">June 30,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1,050,000</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440,129</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1,490,129</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represents the remaining balance for desulfurizing towers of Top Diligence and Top Elegance. The total consideration for the desulfurizing towers is $2,100,000, which should be paid within two years. The balance for Top Diligence shall be paid in four installments of $262,500 every six months from October 17, 2023 to October 16, 2025 and was discounted at a rate of 6.96%. The balance for Top Elegance shall be paid in four installments of $262,500 every six months from December 18, 2023 to December 17, 2025 and was discounted at a rate of 6.85%. The carrying amount of the long-term payable is shown net of total unamortized discount of $17,521 as of June 30, 2025. Amortization of the discounts is reported in the income statement as interest expense.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w:t>
      </w:r>
      <w:r>
        <w:rPr>
          <w:rFonts w:ascii="Times New Roman PS Std;serif" w:hAnsi="Times New Roman PS Std;serif"/>
          <w:b/>
          <w:i w:val="false"/>
          <w:caps/>
          <w:sz w:val="20"/>
        </w:rPr>
        <w:t>Leases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 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cash paid for operating lease liabilities amounted to $2,630,252, $2,920,500 and $3,597,283, respectively, which equals to the total lease expenses in the below table.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lease expenses for the years ended June 30, 2025 and 2024 were as follows:</w:t>
      </w:r>
    </w:p>
    <w:tbl>
      <w:tblPr>
        <w:tblW w:w="7707" w:type="dxa"/>
        <w:jc w:val="left"/>
        <w:tblInd w:w="0" w:type="dxa"/>
        <w:tblLayout w:type="fixed"/>
        <w:tblCellMar>
          <w:top w:w="0" w:type="dxa"/>
          <w:left w:w="0" w:type="dxa"/>
          <w:bottom w:w="0" w:type="dxa"/>
          <w:right w:w="0" w:type="dxa"/>
        </w:tblCellMar>
      </w:tblPr>
      <w:tblGrid>
        <w:gridCol w:w="2506"/>
        <w:gridCol w:w="146"/>
        <w:gridCol w:w="286"/>
        <w:gridCol w:w="1126"/>
        <w:gridCol w:w="241"/>
        <w:gridCol w:w="146"/>
        <w:gridCol w:w="286"/>
        <w:gridCol w:w="1126"/>
        <w:gridCol w:w="241"/>
        <w:gridCol w:w="146"/>
        <w:gridCol w:w="286"/>
        <w:gridCol w:w="1171"/>
      </w:tblGrid>
      <w:tr>
        <w:trPr/>
        <w:tc>
          <w:tcPr>
            <w:tcW w:w="250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055" w:type="dxa"/>
            <w:gridSpan w:val="10"/>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25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operating lease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3,158,279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3,158,279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3,158,279</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operating lease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(528,027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439,004</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expense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2,630,252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2,920,500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3,597,283</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operating lease expense depending on the BSI (Baltic Supramax index) published by the Baltic Exchange is measured on a monthly basis and recognized during the period in which it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balance sheet information related to operating lease was as follows:</w:t>
      </w:r>
    </w:p>
    <w:tbl>
      <w:tblPr>
        <w:tblW w:w="7197" w:type="dxa"/>
        <w:jc w:val="left"/>
        <w:tblInd w:w="0" w:type="dxa"/>
        <w:tblLayout w:type="fixed"/>
        <w:tblCellMar>
          <w:top w:w="0" w:type="dxa"/>
          <w:left w:w="0" w:type="dxa"/>
          <w:bottom w:w="0" w:type="dxa"/>
          <w:right w:w="0" w:type="dxa"/>
        </w:tblCellMar>
      </w:tblPr>
      <w:tblGrid>
        <w:gridCol w:w="4036"/>
        <w:gridCol w:w="146"/>
        <w:gridCol w:w="286"/>
        <w:gridCol w:w="1126"/>
        <w:gridCol w:w="146"/>
        <w:gridCol w:w="286"/>
        <w:gridCol w:w="1171"/>
      </w:tblGrid>
      <w:tr>
        <w:trPr/>
        <w:tc>
          <w:tcPr>
            <w:tcW w:w="40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assets-operating lease,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4,587,352</w:t>
            </w:r>
          </w:p>
        </w:tc>
      </w:tr>
      <w:tr>
        <w:trPr/>
        <w:tc>
          <w:tcPr>
            <w:tcW w:w="4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4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3,026,234</w:t>
            </w:r>
          </w:p>
        </w:tc>
      </w:tr>
      <w:tr>
        <w:trPr/>
        <w:tc>
          <w:tcPr>
            <w:tcW w:w="4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1,572,994</w:t>
            </w:r>
          </w:p>
        </w:tc>
      </w:tr>
      <w:tr>
        <w:trPr/>
        <w:tc>
          <w:tcPr>
            <w:tcW w:w="4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4,599,228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w:t>
      </w:r>
      <w:r>
        <w:rPr>
          <w:rFonts w:ascii="Times New Roman PS Std;serif" w:hAnsi="Times New Roman PS Std;serif"/>
          <w:b/>
          <w:i w:val="false"/>
          <w:caps/>
          <w:sz w:val="20"/>
        </w:rPr>
        <w:t>Leases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remaining lease terms and discount rate for operating lease were as follows as of June 30, 2025 and 2024:</w:t>
      </w:r>
    </w:p>
    <w:tbl>
      <w:tblPr>
        <w:tblW w:w="7857" w:type="dxa"/>
        <w:jc w:val="left"/>
        <w:tblInd w:w="0" w:type="dxa"/>
        <w:tblLayout w:type="fixed"/>
        <w:tblCellMar>
          <w:top w:w="0" w:type="dxa"/>
          <w:left w:w="0" w:type="dxa"/>
          <w:bottom w:w="0" w:type="dxa"/>
          <w:right w:w="0" w:type="dxa"/>
        </w:tblCellMar>
      </w:tblPr>
      <w:tblGrid>
        <w:gridCol w:w="4816"/>
        <w:gridCol w:w="146"/>
        <w:gridCol w:w="1066"/>
        <w:gridCol w:w="286"/>
        <w:gridCol w:w="146"/>
        <w:gridCol w:w="1066"/>
        <w:gridCol w:w="331"/>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Remaining lease term and discount rate:</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 years</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schedule of maturities of operating lease liabilities (excluding variable payments) as of June 30, 2025:</w:t>
      </w:r>
    </w:p>
    <w:tbl>
      <w:tblPr>
        <w:tblW w:w="5489" w:type="dxa"/>
        <w:jc w:val="left"/>
        <w:tblInd w:w="0" w:type="dxa"/>
        <w:tblLayout w:type="fixed"/>
        <w:tblCellMar>
          <w:top w:w="0" w:type="dxa"/>
          <w:left w:w="0" w:type="dxa"/>
          <w:bottom w:w="0" w:type="dxa"/>
          <w:right w:w="0" w:type="dxa"/>
        </w:tblCellMar>
      </w:tblPr>
      <w:tblGrid>
        <w:gridCol w:w="3886"/>
        <w:gridCol w:w="146"/>
        <w:gridCol w:w="286"/>
        <w:gridCol w:w="1171"/>
      </w:tblGrid>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Twelve months ending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1,456,106</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1,456,106</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18,753</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lease 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Short-term operating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$34,448, $27,443 and $28,571 for the years ended June 30, 2025, 2024 and 2023.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leases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2018, the Group took delivery of Top Diligence, a 2018-built Dry Cargo vessel of 48,500 dwt, for a 10-year bareboat charter-in agreement with Topsheen Shipping Group Limited (a related party, see Note 10). The bareboat charter-in provides for purchase obligation with a bargain purchase price at the end of 10-year charter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June 30, 2025 and 2024, the outstanding balance of lease liabilities was $6,739,912 and $8,337,978, respectively, and is repayable in 38 months in consecutive monthly installments, with an estimated purchase option of $1,490,000.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2019, the Group took delivery of Top Elegance, a 2019-built Dry Cargo vessel of 48,500 dwt, for a 10-year bareboat charter-in agreement with Topsheen Shipping Group Limited (a related party, see Note 10).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June 30, 2025 and 2024, the outstanding balance of lease liabilities was $7,275,788 and $8,866,762, respectively, and is repayable in 42 months in consecutive monthly installments, with an estimated purchase option of $1,490,000.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w:t>
      </w:r>
      <w:r>
        <w:rPr>
          <w:rFonts w:ascii="Times New Roman PS Std;serif" w:hAnsi="Times New Roman PS Std;serif"/>
          <w:b/>
          <w:i w:val="false"/>
          <w:caps/>
          <w:sz w:val="20"/>
        </w:rPr>
        <w:t>Leases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financing lease expense, including amortization and interest expenses recognized in the combined and consolidated statements of income for the years ended June 30, 2025, 2024 and 2023 were as follows:</w:t>
      </w:r>
    </w:p>
    <w:tbl>
      <w:tblPr>
        <w:tblW w:w="7450" w:type="dxa"/>
        <w:jc w:val="left"/>
        <w:tblInd w:w="0" w:type="dxa"/>
        <w:tblLayout w:type="fixed"/>
        <w:tblCellMar>
          <w:top w:w="0" w:type="dxa"/>
          <w:left w:w="0" w:type="dxa"/>
          <w:bottom w:w="0" w:type="dxa"/>
          <w:right w:w="0" w:type="dxa"/>
        </w:tblCellMar>
      </w:tblPr>
      <w:tblGrid>
        <w:gridCol w:w="2731"/>
        <w:gridCol w:w="146"/>
        <w:gridCol w:w="286"/>
        <w:gridCol w:w="1126"/>
        <w:gridCol w:w="146"/>
        <w:gridCol w:w="286"/>
        <w:gridCol w:w="1126"/>
        <w:gridCol w:w="146"/>
        <w:gridCol w:w="286"/>
        <w:gridCol w:w="1171"/>
      </w:tblGrid>
      <w:tr>
        <w:trPr/>
        <w:tc>
          <w:tcPr>
            <w:tcW w:w="273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5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t xml:space="preserve"> </w:t>
            </w:r>
            <w:r>
              <w:rPr>
                <w:rFonts w:ascii="Times New Roman PS Std;serif" w:hAnsi="Times New Roman PS Std;serif"/>
                <w:b/>
                <w:i w:val="false"/>
                <w:caps w:val="false"/>
                <w:smallCaps w:val="false"/>
                <w:sz w:val="18"/>
              </w:rPr>
              <w:t>June 30,</w:t>
            </w:r>
          </w:p>
        </w:tc>
      </w:tr>
      <w:tr>
        <w:trPr/>
        <w:tc>
          <w:tcPr>
            <w:tcW w:w="273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2,704,847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2,704,848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2,704,847</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expenses-fixed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1,196,602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1,443,772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1,689,926</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expenses-variable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238,965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496,612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300,761</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4,140,414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4,645,232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4,695,534</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interest expenses depending on LIBOR (later replaced by SOFR) are measured on a monthly basis and recognized during the period in which they are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balance sheet information related to financing leases was as follows:</w:t>
      </w:r>
    </w:p>
    <w:tbl>
      <w:tblPr>
        <w:tblW w:w="10205" w:type="dxa"/>
        <w:jc w:val="left"/>
        <w:tblInd w:w="0" w:type="dxa"/>
        <w:tblLayout w:type="fixed"/>
        <w:tblCellMar>
          <w:top w:w="0" w:type="dxa"/>
          <w:left w:w="0" w:type="dxa"/>
          <w:bottom w:w="0" w:type="dxa"/>
          <w:right w:w="0" w:type="dxa"/>
        </w:tblCellMar>
      </w:tblPr>
      <w:tblGrid>
        <w:gridCol w:w="6804"/>
        <w:gridCol w:w="146"/>
        <w:gridCol w:w="286"/>
        <w:gridCol w:w="1246"/>
        <w:gridCol w:w="146"/>
        <w:gridCol w:w="286"/>
        <w:gridCol w:w="1291"/>
      </w:tblGrid>
      <w:tr>
        <w:trPr/>
        <w:tc>
          <w:tcPr>
            <w:tcW w:w="68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68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assets-financing lease, net (included in Vessels, net, see Note 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38,118,961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40,753,604</w:t>
            </w:r>
          </w:p>
        </w:tc>
      </w:tr>
      <w:tr>
        <w:trPr/>
        <w:tc>
          <w:tcPr>
            <w:tcW w:w="68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3,338,390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3,256,190</w:t>
            </w:r>
          </w:p>
        </w:tc>
      </w:tr>
      <w:tr>
        <w:trPr/>
        <w:tc>
          <w:tcPr>
            <w:tcW w:w="68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10,677,310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13,948,550</w:t>
            </w:r>
          </w:p>
        </w:tc>
      </w:tr>
      <w:tr>
        <w:trPr/>
        <w:tc>
          <w:tcPr>
            <w:tcW w:w="68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lease 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14,015,700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17,204,740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remaining lease terms and discount rates for financing leases were as follows as of June 30, 2025 and 2024:</w:t>
      </w:r>
    </w:p>
    <w:tbl>
      <w:tblPr>
        <w:tblW w:w="8097" w:type="dxa"/>
        <w:jc w:val="left"/>
        <w:tblInd w:w="0" w:type="dxa"/>
        <w:tblLayout w:type="fixed"/>
        <w:tblCellMar>
          <w:top w:w="0" w:type="dxa"/>
          <w:left w:w="0" w:type="dxa"/>
          <w:bottom w:w="0" w:type="dxa"/>
          <w:right w:w="0" w:type="dxa"/>
        </w:tblCellMar>
      </w:tblPr>
      <w:tblGrid>
        <w:gridCol w:w="4816"/>
        <w:gridCol w:w="146"/>
        <w:gridCol w:w="1186"/>
        <w:gridCol w:w="286"/>
        <w:gridCol w:w="146"/>
        <w:gridCol w:w="1186"/>
        <w:gridCol w:w="331"/>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lease term and discount rate: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 years</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 years</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schedule of maturities of financing lease liabilities (excluding variable payments) as of June 30, 2025:</w:t>
      </w:r>
    </w:p>
    <w:tbl>
      <w:tblPr>
        <w:tblW w:w="5609" w:type="dxa"/>
        <w:jc w:val="left"/>
        <w:tblInd w:w="0" w:type="dxa"/>
        <w:tblLayout w:type="fixed"/>
        <w:tblCellMar>
          <w:top w:w="0" w:type="dxa"/>
          <w:left w:w="0" w:type="dxa"/>
          <w:bottom w:w="0" w:type="dxa"/>
          <w:right w:w="0" w:type="dxa"/>
        </w:tblCellMar>
      </w:tblPr>
      <w:tblGrid>
        <w:gridCol w:w="3886"/>
        <w:gridCol w:w="146"/>
        <w:gridCol w:w="286"/>
        <w:gridCol w:w="1291"/>
      </w:tblGrid>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Twelve months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4,286,724</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3,986,356</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3,753,139</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4,182,754</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16,208,973</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2,193,273</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lease 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14,015,700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LONG-TERM LOAN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 consists of the following:</w:t>
      </w:r>
    </w:p>
    <w:tbl>
      <w:tblPr>
        <w:tblW w:w="10205" w:type="dxa"/>
        <w:jc w:val="left"/>
        <w:tblInd w:w="0" w:type="dxa"/>
        <w:tblLayout w:type="fixed"/>
        <w:tblCellMar>
          <w:top w:w="0" w:type="dxa"/>
          <w:left w:w="0" w:type="dxa"/>
          <w:bottom w:w="0" w:type="dxa"/>
          <w:right w:w="0" w:type="dxa"/>
        </w:tblCellMar>
      </w:tblPr>
      <w:tblGrid>
        <w:gridCol w:w="7044"/>
        <w:gridCol w:w="146"/>
        <w:gridCol w:w="286"/>
        <w:gridCol w:w="1126"/>
        <w:gridCol w:w="146"/>
        <w:gridCol w:w="286"/>
        <w:gridCol w:w="1171"/>
      </w:tblGrid>
      <w:tr>
        <w:trPr/>
        <w:tc>
          <w:tcPr>
            <w:tcW w:w="704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7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Chailease International Financial Services (Singapore) Pte. Ltd. (due on August 8, 2027)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4,505,274</w:t>
            </w:r>
          </w:p>
        </w:tc>
      </w:tr>
      <w:tr>
        <w:trPr/>
        <w:tc>
          <w:tcPr>
            <w:tcW w:w="7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4,505,274</w:t>
            </w:r>
          </w:p>
        </w:tc>
      </w:tr>
      <w:tr>
        <w:trPr/>
        <w:tc>
          <w:tcPr>
            <w:tcW w:w="7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Long-term loan –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r>
      <w:tr>
        <w:trPr/>
        <w:tc>
          <w:tcPr>
            <w:tcW w:w="7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 – non-current portion</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1,252,657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2,848,986</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10).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repayment schedule for the loan are as follows:</w:t>
      </w:r>
    </w:p>
    <w:tbl>
      <w:tblPr>
        <w:tblW w:w="5625" w:type="dxa"/>
        <w:jc w:val="left"/>
        <w:tblInd w:w="0" w:type="dxa"/>
        <w:tblLayout w:type="fixed"/>
        <w:tblCellMar>
          <w:top w:w="0" w:type="dxa"/>
          <w:left w:w="0" w:type="dxa"/>
          <w:bottom w:w="0" w:type="dxa"/>
          <w:right w:w="0" w:type="dxa"/>
        </w:tblCellMar>
      </w:tblPr>
      <w:tblGrid>
        <w:gridCol w:w="3781"/>
        <w:gridCol w:w="146"/>
        <w:gridCol w:w="286"/>
        <w:gridCol w:w="1126"/>
        <w:gridCol w:w="286"/>
      </w:tblGrid>
      <w:tr>
        <w:trPr/>
        <w:tc>
          <w:tcPr>
            <w:tcW w:w="37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Twelve months ending June 30,</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Repayment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1,130,492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2,957,664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debt issuance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 RELATED PARTY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records transactions with various related parties. These related parties’ balances as of June 30, 2025 and 2024 and transactions for the years ended June 30, 2025, 2024 and 2023 are identified as follows: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Related parties with transactions and related party relationships</w:t>
      </w:r>
    </w:p>
    <w:tbl>
      <w:tblPr>
        <w:tblW w:w="10205" w:type="dxa"/>
        <w:jc w:val="left"/>
        <w:tblInd w:w="0" w:type="dxa"/>
        <w:tblLayout w:type="fixed"/>
        <w:tblCellMar>
          <w:top w:w="0" w:type="dxa"/>
          <w:left w:w="0" w:type="dxa"/>
          <w:bottom w:w="0" w:type="dxa"/>
          <w:right w:w="0" w:type="dxa"/>
        </w:tblCellMar>
      </w:tblPr>
      <w:tblGrid>
        <w:gridCol w:w="3854"/>
        <w:gridCol w:w="146"/>
        <w:gridCol w:w="6205"/>
      </w:tblGrid>
      <w:tr>
        <w:trPr/>
        <w:tc>
          <w:tcPr>
            <w:tcW w:w="38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Party</w:t>
            </w:r>
          </w:p>
        </w:tc>
        <w:tc>
          <w:tcPr>
            <w:tcW w:w="146" w:type="dxa"/>
            <w:tcBorders/>
            <w:vAlign w:val="bottom"/>
          </w:tcPr>
          <w:p>
            <w:pPr>
              <w:pStyle w:val="TableContents"/>
              <w:bidi w:val="0"/>
              <w:spacing w:before="0" w:after="283"/>
              <w:jc w:val="left"/>
              <w:rPr/>
            </w:pPr>
            <w:r>
              <w:rPr/>
              <w:t> </w:t>
            </w:r>
          </w:p>
        </w:tc>
        <w:tc>
          <w:tcPr>
            <w:tcW w:w="62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to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Shoucheng Lei</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 Ms. Luan Chen and Mr. Jun Li, shareholders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 RELATED PARTY TRANSACTIONS </w:t>
      </w:r>
      <w:r>
        <w:rPr>
          <w:rFonts w:ascii="Times New Roman PS Std;serif" w:hAnsi="Times New Roman PS Std;serif"/>
          <w:b w:val="false"/>
          <w:i w:val="false"/>
          <w:caps w:val="false"/>
          <w:smallCaps w:val="false"/>
          <w:sz w:val="20"/>
        </w:rPr>
        <w:t>(cont.)</w:t>
      </w:r>
    </w:p>
    <w:tbl>
      <w:tblPr>
        <w:tblW w:w="8668" w:type="dxa"/>
        <w:jc w:val="left"/>
        <w:tblInd w:w="0" w:type="dxa"/>
        <w:tblLayout w:type="fixed"/>
        <w:tblCellMar>
          <w:top w:w="0" w:type="dxa"/>
          <w:left w:w="0" w:type="dxa"/>
          <w:bottom w:w="0" w:type="dxa"/>
          <w:right w:w="0" w:type="dxa"/>
        </w:tblCellMar>
      </w:tblPr>
      <w:tblGrid>
        <w:gridCol w:w="3376"/>
        <w:gridCol w:w="146"/>
        <w:gridCol w:w="5146"/>
      </w:tblGrid>
      <w:tr>
        <w:trPr/>
        <w:tc>
          <w:tcPr>
            <w:tcW w:w="3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Party</w:t>
            </w:r>
          </w:p>
        </w:tc>
        <w:tc>
          <w:tcPr>
            <w:tcW w:w="146" w:type="dxa"/>
            <w:tcBorders/>
            <w:vAlign w:val="bottom"/>
          </w:tcPr>
          <w:p>
            <w:pPr>
              <w:pStyle w:val="TableContents"/>
              <w:bidi w:val="0"/>
              <w:spacing w:before="0" w:after="283"/>
              <w:jc w:val="left"/>
              <w:rPr/>
            </w:pPr>
            <w:r>
              <w:rPr/>
              <w:t> </w:t>
            </w:r>
          </w:p>
        </w:tc>
        <w:tc>
          <w:tcPr>
            <w:tcW w:w="51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to the Group</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Dong Zhang</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Mr. Jun Li</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Qing Xu</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Ms. Luan Chen</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Corporation Shipping Limited</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Accounts receivable-related parties</w:t>
      </w:r>
    </w:p>
    <w:tbl>
      <w:tblPr>
        <w:tblW w:w="7107" w:type="dxa"/>
        <w:jc w:val="left"/>
        <w:tblInd w:w="0" w:type="dxa"/>
        <w:tblLayout w:type="fixed"/>
        <w:tblCellMar>
          <w:top w:w="0" w:type="dxa"/>
          <w:left w:w="0" w:type="dxa"/>
          <w:bottom w:w="0" w:type="dxa"/>
          <w:right w:w="0" w:type="dxa"/>
        </w:tblCellMar>
      </w:tblPr>
      <w:tblGrid>
        <w:gridCol w:w="4126"/>
        <w:gridCol w:w="146"/>
        <w:gridCol w:w="286"/>
        <w:gridCol w:w="1126"/>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50,125</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143,277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86,817</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136,942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represented consideration for time charter accounts receivable from Topsheen Shipping Singapore Pte. Ltd.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represents the accrued management fees from related parties for vessel management services.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Advance from customers-related party</w:t>
      </w:r>
    </w:p>
    <w:tbl>
      <w:tblPr>
        <w:tblW w:w="6927" w:type="dxa"/>
        <w:jc w:val="left"/>
        <w:tblInd w:w="0" w:type="dxa"/>
        <w:tblLayout w:type="fixed"/>
        <w:tblCellMar>
          <w:top w:w="0" w:type="dxa"/>
          <w:left w:w="0" w:type="dxa"/>
          <w:bottom w:w="0" w:type="dxa"/>
          <w:right w:w="0" w:type="dxa"/>
        </w:tblCellMar>
      </w:tblPr>
      <w:tblGrid>
        <w:gridCol w:w="4126"/>
        <w:gridCol w:w="146"/>
        <w:gridCol w:w="286"/>
        <w:gridCol w:w="946"/>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213,209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represents the advance charter hire payments from Topsheen Shipping Singapore Pte. Ltd.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Due from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the balances due from related parties were as follows:</w:t>
      </w:r>
    </w:p>
    <w:tbl>
      <w:tblPr>
        <w:tblW w:w="6867" w:type="dxa"/>
        <w:jc w:val="left"/>
        <w:tblInd w:w="0" w:type="dxa"/>
        <w:tblLayout w:type="fixed"/>
        <w:tblCellMar>
          <w:top w:w="0" w:type="dxa"/>
          <w:left w:w="0" w:type="dxa"/>
          <w:bottom w:w="0" w:type="dxa"/>
          <w:right w:w="0" w:type="dxa"/>
        </w:tblCellMar>
      </w:tblPr>
      <w:tblGrid>
        <w:gridCol w:w="4066"/>
        <w:gridCol w:w="146"/>
        <w:gridCol w:w="286"/>
        <w:gridCol w:w="946"/>
        <w:gridCol w:w="146"/>
        <w:gridCol w:w="286"/>
        <w:gridCol w:w="991"/>
      </w:tblGrid>
      <w:tr>
        <w:trPr/>
        <w:tc>
          <w:tcPr>
            <w:tcW w:w="4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71,662</w:t>
            </w:r>
          </w:p>
        </w:tc>
      </w:tr>
      <w:tr>
        <w:trPr/>
        <w:tc>
          <w:tcPr>
            <w:tcW w:w="40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331,656</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represents the outstanding bunker receivable from Topsheen Shipping Singapore Pte. Ltd for time charter service provided by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Due to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the balances due to related parties were as follows:</w:t>
      </w:r>
    </w:p>
    <w:tbl>
      <w:tblPr>
        <w:tblW w:w="8952" w:type="dxa"/>
        <w:jc w:val="left"/>
        <w:tblInd w:w="0" w:type="dxa"/>
        <w:tblLayout w:type="fixed"/>
        <w:tblCellMar>
          <w:top w:w="0" w:type="dxa"/>
          <w:left w:w="0" w:type="dxa"/>
          <w:bottom w:w="0" w:type="dxa"/>
          <w:right w:w="0" w:type="dxa"/>
        </w:tblCellMar>
      </w:tblPr>
      <w:tblGrid>
        <w:gridCol w:w="5551"/>
        <w:gridCol w:w="146"/>
        <w:gridCol w:w="286"/>
        <w:gridCol w:w="1246"/>
        <w:gridCol w:w="146"/>
        <w:gridCol w:w="286"/>
        <w:gridCol w:w="1291"/>
      </w:tblGrid>
      <w:tr>
        <w:trPr/>
        <w:tc>
          <w:tcPr>
            <w:tcW w:w="55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45,504</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17,683</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shareholder and affiliate(2)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24,490,720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24,776,946</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24,851,679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balances mainly represented the expenses paid on behalf of the Group.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balances mainly represented non-interest-bearing loans from Mr. Shoucheng Lei and due on demand.</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Services provided to related parties</w:t>
      </w:r>
    </w:p>
    <w:tbl>
      <w:tblPr>
        <w:tblW w:w="10205" w:type="dxa"/>
        <w:jc w:val="left"/>
        <w:tblInd w:w="0" w:type="dxa"/>
        <w:tblLayout w:type="fixed"/>
        <w:tblCellMar>
          <w:top w:w="0" w:type="dxa"/>
          <w:left w:w="0" w:type="dxa"/>
          <w:bottom w:w="0" w:type="dxa"/>
          <w:right w:w="0" w:type="dxa"/>
        </w:tblCellMar>
      </w:tblPr>
      <w:tblGrid>
        <w:gridCol w:w="5126"/>
        <w:gridCol w:w="146"/>
        <w:gridCol w:w="286"/>
        <w:gridCol w:w="1246"/>
        <w:gridCol w:w="146"/>
        <w:gridCol w:w="286"/>
        <w:gridCol w:w="1246"/>
        <w:gridCol w:w="146"/>
        <w:gridCol w:w="286"/>
        <w:gridCol w:w="1291"/>
      </w:tblGrid>
      <w:tr>
        <w:trPr/>
        <w:tc>
          <w:tcPr>
            <w:tcW w:w="5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June 30,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June 30, </w:t>
              <w:br/>
              <w:t>2024</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June 30, </w:t>
              <w:br/>
              <w:t>2023</w:t>
            </w:r>
          </w:p>
        </w:tc>
      </w:tr>
      <w:tr>
        <w:trPr/>
        <w:tc>
          <w:tcPr>
            <w:tcW w:w="5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18,682,031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13,999,534</w:t>
            </w:r>
          </w:p>
        </w:tc>
      </w:tr>
      <w:tr>
        <w:trPr/>
        <w:tc>
          <w:tcPr>
            <w:tcW w:w="5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 (Vessel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1,481,220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1,565,711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2,052,046</w:t>
            </w:r>
          </w:p>
        </w:tc>
      </w:tr>
      <w:tr>
        <w:trPr/>
        <w:tc>
          <w:tcPr>
            <w:tcW w:w="5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1,457,911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1,752,601</w:t>
            </w:r>
          </w:p>
        </w:tc>
      </w:tr>
      <w:tr>
        <w:trPr/>
        <w:tc>
          <w:tcPr>
            <w:tcW w:w="5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 (Vessel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420,737</w:t>
            </w:r>
          </w:p>
        </w:tc>
      </w:tr>
      <w:tr>
        <w:trPr/>
        <w:tc>
          <w:tcPr>
            <w:tcW w:w="5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619,504</w:t>
            </w:r>
          </w:p>
        </w:tc>
      </w:tr>
      <w:tr>
        <w:trPr/>
        <w:tc>
          <w:tcPr>
            <w:tcW w:w="5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 (Time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1,128,998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974,963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23,374,497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16,314,896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18,844,422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Group provided time charter service and vessel management services to the related parties. These numbers have been included in the revenue of the combined and consolidated statements of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Financing lease from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Group has financing leases from a related party. (see Note 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Short-term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office lease expense from a related party</w:t>
      </w:r>
    </w:p>
    <w:tbl>
      <w:tblPr>
        <w:tblW w:w="6604" w:type="dxa"/>
        <w:jc w:val="left"/>
        <w:tblInd w:w="0" w:type="dxa"/>
        <w:tblLayout w:type="fixed"/>
        <w:tblCellMar>
          <w:top w:w="0" w:type="dxa"/>
          <w:left w:w="0" w:type="dxa"/>
          <w:bottom w:w="0" w:type="dxa"/>
          <w:right w:w="0" w:type="dxa"/>
        </w:tblCellMar>
      </w:tblPr>
      <w:tblGrid>
        <w:gridCol w:w="1981"/>
        <w:gridCol w:w="146"/>
        <w:gridCol w:w="355"/>
        <w:gridCol w:w="1025"/>
        <w:gridCol w:w="146"/>
        <w:gridCol w:w="355"/>
        <w:gridCol w:w="1025"/>
        <w:gridCol w:w="146"/>
        <w:gridCol w:w="352"/>
        <w:gridCol w:w="1073"/>
      </w:tblGrid>
      <w:tr>
        <w:trPr/>
        <w:tc>
          <w:tcPr>
            <w:tcW w:w="1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Jun Li’s affiliate</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27,684</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27,443</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28,571</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numbers have been included in the General and administrative expenses of the combined and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General and administrative expenses shared with a related party</w:t>
      </w:r>
    </w:p>
    <w:tbl>
      <w:tblPr>
        <w:tblW w:w="8029" w:type="dxa"/>
        <w:jc w:val="left"/>
        <w:tblInd w:w="0" w:type="dxa"/>
        <w:tblLayout w:type="fixed"/>
        <w:tblCellMar>
          <w:top w:w="0" w:type="dxa"/>
          <w:left w:w="0" w:type="dxa"/>
          <w:bottom w:w="0" w:type="dxa"/>
          <w:right w:w="0" w:type="dxa"/>
        </w:tblCellMar>
      </w:tblPr>
      <w:tblGrid>
        <w:gridCol w:w="3406"/>
        <w:gridCol w:w="146"/>
        <w:gridCol w:w="355"/>
        <w:gridCol w:w="1025"/>
        <w:gridCol w:w="146"/>
        <w:gridCol w:w="320"/>
        <w:gridCol w:w="1060"/>
        <w:gridCol w:w="146"/>
        <w:gridCol w:w="352"/>
        <w:gridCol w:w="1073"/>
      </w:tblGrid>
      <w:tr>
        <w:trPr/>
        <w:tc>
          <w:tcPr>
            <w:tcW w:w="3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Co., Ltd</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92,581</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108,353</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75,592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Guarantee by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long-term loan totaling $2,908,945 and $4,505,274, respectively, was guaranteed by Topsheen Shipping Singapore Pte. Ltd., shareholders and affiliates. (see Note 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Advances with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intercompany advances with related parties to meet short-term funding needs. Substantially all of the balances were settled before year-end, and the remaining balance as of June 30, 2025 was immaterial. The related cash flows were included in operating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 TAXES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British Virgin Islands Taxation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laws of the British Virgin Islands, the Group’s subsidiary incorporated in BVI is not subject to income tax.</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reconciles the Hong Kong income tax rates to the Group’s effective tax rate for the years ended June 30, 2025, 2024 and 2023:</w:t>
      </w:r>
    </w:p>
    <w:tbl>
      <w:tblPr>
        <w:tblW w:w="6514" w:type="dxa"/>
        <w:jc w:val="left"/>
        <w:tblInd w:w="0" w:type="dxa"/>
        <w:tblLayout w:type="fixed"/>
        <w:tblCellMar>
          <w:top w:w="0" w:type="dxa"/>
          <w:left w:w="0" w:type="dxa"/>
          <w:bottom w:w="0" w:type="dxa"/>
          <w:right w:w="0" w:type="dxa"/>
        </w:tblCellMar>
      </w:tblPr>
      <w:tblGrid>
        <w:gridCol w:w="1846"/>
        <w:gridCol w:w="146"/>
        <w:gridCol w:w="852"/>
        <w:gridCol w:w="543"/>
        <w:gridCol w:w="146"/>
        <w:gridCol w:w="852"/>
        <w:gridCol w:w="543"/>
        <w:gridCol w:w="146"/>
        <w:gridCol w:w="845"/>
        <w:gridCol w:w="595"/>
      </w:tblGrid>
      <w:tr>
        <w:trPr/>
        <w:tc>
          <w:tcPr>
            <w:tcW w:w="1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tax rate</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exemption</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4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4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w:t>
            </w:r>
          </w:p>
        </w:tc>
        <w:tc>
          <w:tcPr>
            <w:tcW w:w="146" w:type="dxa"/>
            <w:tcBorders/>
            <w:shd w:fill="CCEEFF" w:val="clear"/>
            <w:vAlign w:val="bottom"/>
          </w:tcPr>
          <w:p>
            <w:pPr>
              <w:pStyle w:val="TableContents"/>
              <w:bidi w:val="0"/>
              <w:spacing w:before="0" w:after="283"/>
              <w:jc w:val="left"/>
              <w:rPr/>
            </w:pPr>
            <w:r>
              <w:rPr/>
              <w:t> </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5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 SHAREHOLDERS’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on July 4, 2023 as a holding company. The Company’s authorized share capital is $50,000 divided into 500,000,000 ordinary shares of a par value of $0.0001 each. The number of ordinary shares issued and outstanding was 92.1 as of July 4, 2023.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Recapitalization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April 15, 2024, the Company effectuated a series of share recapitalizations (the “Recapitalization”). As a result of the Recapitalization, the Company had nominal issuance of 25,000,001 ordinary shares to the existing ordinary shareholders, after which, the Company has an aggregated of 25,000,001 ordinary shares issued and outstanding. The Company believes that the Recapitalization should be accounted for on a retroactive basis pursuant to ASC 260. All ordinary shares and per share data for all periods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Initial Public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completed its Initial Public Offering (“IPO”) on March 28, 2025 issuing 1,500,000 ordinary shares, par value $0.0001 per share, with total gross proceeds of $10,500,000, before deducting underwriting discounts and other offering expenses. Net proceeds amounted $9,495,017 were received.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2025, Kingswood Capital Partners, LLC. (“Kingswood”), as the representative of the underwriters, exercised its over-allotment option in part to purchase an additional 175,000 ordinary shares par value US$0.0001 per share of the Company at the public offering price of $7.00 per share, before deducting underwriting discounts. The Group received $1,139,244 net proceeds from the over-allotment on April 8,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independent investors signed agreements with the Company on March 11, 2024 to invest in aggregated of approximately $3.0 million (or $1.5 million per each investor) in exchange for total of 500,002 ordinary shares of the Company (or 250,001 ordinary shares per each investor). As of June 30, 2025, the Company received $3.0 million. The related issuance of the ordinary shares for the private placement was completed on April 8, 2024, which was accounted as a standalone private placement, separate from the Recapitalization. The proceeds received by the Company related to this private placement amounted to $1,350,000 and $1,649,985 for the years ended June 30, 2025 and 2024,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declared and paid by the subsidiaries of the Group for the years ended June 30, 2025, 2024 and 2023 are listed below:</w:t>
      </w:r>
    </w:p>
    <w:tbl>
      <w:tblPr>
        <w:tblW w:w="9218" w:type="dxa"/>
        <w:jc w:val="left"/>
        <w:tblInd w:w="0" w:type="dxa"/>
        <w:tblLayout w:type="fixed"/>
        <w:tblCellMar>
          <w:top w:w="0" w:type="dxa"/>
          <w:left w:w="0" w:type="dxa"/>
          <w:bottom w:w="0" w:type="dxa"/>
          <w:right w:w="0" w:type="dxa"/>
        </w:tblCellMar>
      </w:tblPr>
      <w:tblGrid>
        <w:gridCol w:w="1441"/>
        <w:gridCol w:w="146"/>
        <w:gridCol w:w="2026"/>
        <w:gridCol w:w="146"/>
        <w:gridCol w:w="286"/>
        <w:gridCol w:w="1246"/>
        <w:gridCol w:w="146"/>
        <w:gridCol w:w="3781"/>
      </w:tblGrid>
      <w:tr>
        <w:trPr/>
        <w:tc>
          <w:tcPr>
            <w:tcW w:w="14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Dividends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w:t>
            </w:r>
          </w:p>
        </w:tc>
        <w:tc>
          <w:tcPr>
            <w:tcW w:w="146" w:type="dxa"/>
            <w:tcBorders/>
            <w:vAlign w:val="bottom"/>
          </w:tcPr>
          <w:p>
            <w:pPr>
              <w:pStyle w:val="TableContents"/>
              <w:bidi w:val="0"/>
              <w:spacing w:before="0" w:after="283"/>
              <w:jc w:val="left"/>
              <w:rPr/>
            </w:pPr>
            <w:r>
              <w:rPr/>
              <w:t> </w:t>
            </w:r>
          </w:p>
        </w:tc>
        <w:tc>
          <w:tcPr>
            <w:tcW w:w="3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Receiving Shareholder</w:t>
            </w:r>
          </w:p>
        </w:tc>
      </w:tr>
      <w:tr>
        <w:trPr/>
        <w:tc>
          <w:tcPr>
            <w:tcW w:w="1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8, 2023</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600,000</w:t>
            </w:r>
          </w:p>
        </w:tc>
        <w:tc>
          <w:tcPr>
            <w:tcW w:w="146" w:type="dxa"/>
            <w:tcBorders/>
            <w:shd w:fill="CCEEFF" w:val="clear"/>
          </w:tcPr>
          <w:p>
            <w:pPr>
              <w:pStyle w:val="TableContents"/>
              <w:bidi w:val="0"/>
              <w:spacing w:before="0" w:after="283"/>
              <w:jc w:val="left"/>
              <w:rPr/>
            </w:pPr>
            <w:r>
              <w:rPr/>
              <w:t> </w:t>
            </w:r>
          </w:p>
        </w:tc>
        <w:tc>
          <w:tcPr>
            <w:tcW w:w="378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Bright</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15, 2023</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3,700,000</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15, 2023</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2,800,000</w:t>
            </w:r>
          </w:p>
        </w:tc>
        <w:tc>
          <w:tcPr>
            <w:tcW w:w="146" w:type="dxa"/>
            <w:tcBorders/>
            <w:shd w:fill="CCEEFF" w:val="clear"/>
          </w:tcPr>
          <w:p>
            <w:pPr>
              <w:pStyle w:val="TableContents"/>
              <w:bidi w:val="0"/>
              <w:spacing w:before="0" w:after="283"/>
              <w:jc w:val="left"/>
              <w:rPr/>
            </w:pPr>
            <w:r>
              <w:rPr/>
              <w:t> </w:t>
            </w:r>
          </w:p>
        </w:tc>
        <w:tc>
          <w:tcPr>
            <w:tcW w:w="378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Legend</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2023</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3,700,000</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 2023</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w:t>
            </w:r>
          </w:p>
        </w:tc>
        <w:tc>
          <w:tcPr>
            <w:tcW w:w="146" w:type="dxa"/>
            <w:tcBorders/>
            <w:shd w:fill="CCEEFF" w:val="clear"/>
          </w:tcPr>
          <w:p>
            <w:pPr>
              <w:pStyle w:val="TableContents"/>
              <w:bidi w:val="0"/>
              <w:spacing w:before="0" w:after="283"/>
              <w:jc w:val="left"/>
              <w:rPr/>
            </w:pPr>
            <w:r>
              <w:rPr/>
              <w:t> </w:t>
            </w:r>
          </w:p>
        </w:tc>
        <w:tc>
          <w:tcPr>
            <w:tcW w:w="378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12, 2024</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11,800,000</w:t>
            </w:r>
          </w:p>
        </w:tc>
        <w:tc>
          <w:tcPr>
            <w:tcW w:w="146" w:type="dxa"/>
            <w:tcBorders/>
            <w:shd w:fill="CCEEFF" w:val="clear"/>
          </w:tcPr>
          <w:p>
            <w:pPr>
              <w:pStyle w:val="TableContents"/>
              <w:bidi w:val="0"/>
              <w:spacing w:before="0" w:after="283"/>
              <w:jc w:val="left"/>
              <w:rPr/>
            </w:pPr>
            <w:r>
              <w:rPr/>
              <w:t> </w:t>
            </w:r>
          </w:p>
        </w:tc>
        <w:tc>
          <w:tcPr>
            <w:tcW w:w="3781" w:type="dxa"/>
            <w:tcBorders/>
            <w:shd w:fill="CCEEFF" w:val="clea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 SHAREHOLDERS’ EQUITY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2025, the Company issued 83,750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$8.40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tbl>
      <w:tblPr>
        <w:tblW w:w="4227" w:type="dxa"/>
        <w:jc w:val="left"/>
        <w:tblInd w:w="0" w:type="dxa"/>
        <w:tblLayout w:type="fixed"/>
        <w:tblCellMar>
          <w:top w:w="0" w:type="dxa"/>
          <w:left w:w="0" w:type="dxa"/>
          <w:bottom w:w="0" w:type="dxa"/>
          <w:right w:w="0" w:type="dxa"/>
        </w:tblCellMar>
      </w:tblPr>
      <w:tblGrid>
        <w:gridCol w:w="2806"/>
        <w:gridCol w:w="146"/>
        <w:gridCol w:w="928"/>
        <w:gridCol w:w="347"/>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2025</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average volatility</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warrants activity was as follows:</w:t>
      </w:r>
    </w:p>
    <w:tbl>
      <w:tblPr>
        <w:tblW w:w="10205" w:type="dxa"/>
        <w:jc w:val="left"/>
        <w:tblInd w:w="0" w:type="dxa"/>
        <w:tblLayout w:type="fixed"/>
        <w:tblCellMar>
          <w:top w:w="0" w:type="dxa"/>
          <w:left w:w="0" w:type="dxa"/>
          <w:bottom w:w="0" w:type="dxa"/>
          <w:right w:w="0" w:type="dxa"/>
        </w:tblCellMar>
      </w:tblPr>
      <w:tblGrid>
        <w:gridCol w:w="4406"/>
        <w:gridCol w:w="146"/>
        <w:gridCol w:w="1190"/>
        <w:gridCol w:w="146"/>
        <w:gridCol w:w="1185"/>
        <w:gridCol w:w="146"/>
        <w:gridCol w:w="1365"/>
        <w:gridCol w:w="146"/>
        <w:gridCol w:w="1475"/>
      </w:tblGrid>
      <w:tr>
        <w:trPr/>
        <w:tc>
          <w:tcPr>
            <w:tcW w:w="4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warrants</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 xml:space="preserve">price per </w:t>
              <w:br/>
              <w:t>hare</w:t>
            </w:r>
          </w:p>
        </w:tc>
        <w:tc>
          <w:tcPr>
            <w:tcW w:w="146" w:type="dxa"/>
            <w:tcBorders/>
            <w:vAlign w:val="bottom"/>
          </w:tcPr>
          <w:p>
            <w:pPr>
              <w:pStyle w:val="TableContents"/>
              <w:bidi w:val="0"/>
              <w:spacing w:before="0" w:after="283"/>
              <w:jc w:val="left"/>
              <w:rPr/>
            </w:pPr>
            <w:r>
              <w:rPr/>
              <w:t> </w:t>
            </w:r>
          </w:p>
        </w:tc>
        <w:tc>
          <w:tcPr>
            <w:tcW w:w="136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life</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w:t>
              <w:br/>
              <w:t>dates</w:t>
            </w:r>
          </w:p>
        </w:tc>
      </w:tr>
      <w:tr>
        <w:trPr/>
        <w:tc>
          <w:tcPr>
            <w:tcW w:w="4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of warrants outstanding as of June 30, 2024</w:t>
            </w:r>
          </w:p>
        </w:tc>
        <w:tc>
          <w:tcPr>
            <w:tcW w:w="146"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r>
      <w:tr>
        <w:trPr/>
        <w:tc>
          <w:tcPr>
            <w:tcW w:w="44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March 2025 Warrants</w:t>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83,750</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146" w:type="dxa"/>
            <w:tcBorders/>
            <w:vAlign w:val="bottom"/>
          </w:tcPr>
          <w:p>
            <w:pPr>
              <w:pStyle w:val="TableContents"/>
              <w:bidi w:val="0"/>
              <w:spacing w:before="0" w:after="283"/>
              <w:jc w:val="left"/>
              <w:rPr/>
            </w:pPr>
            <w:r>
              <w:rPr/>
              <w:t> </w:t>
            </w:r>
          </w:p>
        </w:tc>
        <w:tc>
          <w:tcPr>
            <w:tcW w:w="13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2030</w:t>
            </w:r>
          </w:p>
        </w:tc>
      </w:tr>
      <w:tr>
        <w:trPr/>
        <w:tc>
          <w:tcPr>
            <w:tcW w:w="4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of warrants outstanding and exercisable as of June 30, 2025</w:t>
            </w:r>
          </w:p>
        </w:tc>
        <w:tc>
          <w:tcPr>
            <w:tcW w:w="146" w:type="dxa"/>
            <w:tcBorders/>
            <w:shd w:fill="CCEEFF" w:val="clear"/>
            <w:vAlign w:val="bottom"/>
          </w:tcPr>
          <w:p>
            <w:pPr>
              <w:pStyle w:val="TableContents"/>
              <w:bidi w:val="0"/>
              <w:spacing w:before="0" w:after="283"/>
              <w:jc w:val="left"/>
              <w:rPr/>
            </w:pPr>
            <w:r>
              <w:rPr/>
              <w:t> </w:t>
            </w:r>
          </w:p>
        </w:tc>
        <w:tc>
          <w:tcPr>
            <w:tcW w:w="11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83,750</w:t>
            </w:r>
          </w:p>
        </w:tc>
        <w:tc>
          <w:tcPr>
            <w:tcW w:w="146" w:type="dxa"/>
            <w:tcBorders/>
            <w:shd w:fill="CCEEFF" w:val="clear"/>
            <w:vAlign w:val="bottom"/>
          </w:tcPr>
          <w:p>
            <w:pPr>
              <w:pStyle w:val="TableContents"/>
              <w:bidi w:val="0"/>
              <w:spacing w:before="0" w:after="283"/>
              <w:jc w:val="left"/>
              <w:rPr/>
            </w:pPr>
            <w:r>
              <w:rPr/>
              <w:t> </w:t>
            </w:r>
          </w:p>
        </w:tc>
        <w:tc>
          <w:tcPr>
            <w:tcW w:w="11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8.40</w:t>
            </w:r>
          </w:p>
        </w:tc>
        <w:tc>
          <w:tcPr>
            <w:tcW w:w="146"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4.75 years</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Contingencies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combined and consolidated financial position or results of operations or liquidity.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no significant financial nor capital commitments and contingencies existed.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 SUBSEQUENT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2025, the Company entered into a consulting agreement with JA CAPITAL IN NY L.L.C. to enhance its U.S. capital market branding and investor communications with a twelve-month service period. Full payment of $600,000 was made on September 18,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12, 2025, the Company entered into a financial advisory agreement with Atlas Capital Strategies LLC to optimize capital structure and support financing and M&amp;A strategies with a twelve-month service period. Full payment of $1,317,000 was made on September 18, 2025.</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20, 2025, the Company entered into an Ordinary Share Purchase Agreement with White Lion Capital LLC, a Nevada limited liability company (the “White Lion Capital”). Pursuant to the Purchase Agreement, White Lion Capital is committed to purchase our ordinary shares, par value US$0.0001 per share, with an aggregate gross purchase price of up to $10,000,000 from time to time during the period commencing on August 20, 2025 and ending on the earlier of (i) the date on which White Lion Capital shall have purchased an aggregate number of our ordinary shares equal to the Commitment Amount or (ii) the later of the 18 month anniversary of the Execution Date or the first closing. The Commitment Amount may be increased up to $30,000,000 upon the mutual written consent of White Lion Capital and us.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ordinary shares, par value $0.0001 per share, of Company (the “Ordinary Shares”), upon the terms and subject to the limitations and conditions set forth in such Pre-Paid Purchase; (ii) 85,470 Ordinary Shares as a commitment fee for the Pre-Paid Purchase facility set forth in the Purchase Agreement (the “Commitment Shares”); and (iii) 2,555,000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 (10) trading days prior to each Purchase Notice Date (as defined in the Purchase Agreement). The Company may not issue shares that would cause the Investor to beneficially own more than 9.99% of the Company’s outstanding Ordinary Shares at any time.</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2025, the Company entered into a consulting agreement with Atlas Harbor Investment Limited for comprehensive advisory services including market analysis, regulatory assessment, and business development support with a twelve-month service period. Full payment of $2,057,000 was made on September 29, 2025.</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evaluated all events and transactions that occurred after June 30, 2025 up through the date when the combined and consolidated financial statements were issued. Other than the events disclosed elsewhere in the combined and consolidated financial statements and those disclosed above, there are no other subsequent event occurred that would require adjustment or disclosure in the Group’s combined and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 EVENTS (UNAUDITED) SUBSEQUENT TO THE DATE OF THE INDEPENDENT AUDITOR’S REPORT</w:t>
      </w:r>
    </w:p>
    <w:p>
      <w:pPr>
        <w:pStyle w:val="TextBody"/>
        <w:keepNext w:val="tru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January 2026 Extraordinary General Meeting</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the Company held its extraordinary shareholder general meeting (the “First EGM”). At the First EGM, the shareholders of the Company adopted the following resolutions:</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15 — EVENTS (UNAUDITED) SUBSEQUENT TO THE DATE OF THE INDEPENDENT AUDITOR’S REPORT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 (equivalent to 38,780,628 shares on a post-consolidation basis) as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June 2026 Extraordinary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5, 2026, the Company held its Class A Ordinary Shareholder meeting (the “Class A Meeting”) and the second extraordinary shareholder general meeting (the “Second EGM”, together with the Class A Meeting, the “Meetings”). At the Meetings, the shareholders of the Company adopted the following resolutions: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Class A Meeting: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newly increased and unissued 79,960,206,598.04 Ordinary Shares be redesignated as Class A Shares;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newly increased and unissued 19,999,793,401.96 Ordinary Shares be redesignated into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15 — EVENTS (UNAUDITED) SUBSEQUENT TO THE DATE OF THE INDEPENDENT AUDITOR’S REPORT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Second EGM: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newly increased and unissued 79,960,206,598.04 Ordinary Shares be redesignated as Class A Shares;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newly increased and unissued 19,999,793,401.96 Ordinary Shares be redesignated into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80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true"/>
        <w:pageBreakBefore w:val="false"/>
        <w:widowControl/>
        <w:pBdr/>
        <w:bidi w:val="0"/>
        <w:spacing w:before="4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Units, each consisting of one Class A Ordinary Share and one Warrant to purchase one Class A Ordinary Share</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Class A Ordinary Shares included in the Units</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Warrants to Purchase Class A Ordinary Shares</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16,000,000 Class A Ordinary Shares Issuable upon Exercise of the Warrants to Purchase Class A Ordinary Shares at a Zero Exercise Price</w:t>
      </w:r>
    </w:p>
    <w:p>
      <w:pPr>
        <w:pStyle w:val="TextBody"/>
        <w:keepNext w:val="true"/>
        <w:pageBreakBefore w:val="false"/>
        <w:widowControl/>
        <w:pBdr/>
        <w:bidi w:val="0"/>
        <w:spacing w:before="480" w:after="283"/>
        <w:jc w:val="center"/>
        <w:rPr>
          <w:caps w:val="false"/>
          <w:smallCaps w:val="false"/>
        </w:rPr>
      </w:pPr>
      <w:r>
        <w:rPr>
          <w:caps w:val="false"/>
          <w:smallCaps w:val="false"/>
        </w:rPr>
        <w:drawing>
          <wp:inline distT="0" distB="0" distL="0" distR="0">
            <wp:extent cx="1409700" cy="5695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09700" cy="569595"/>
                    </a:xfrm>
                    <a:prstGeom prst="rect">
                      <a:avLst/>
                    </a:prstGeom>
                  </pic:spPr>
                </pic:pic>
              </a:graphicData>
            </a:graphic>
          </wp:inline>
        </w:drawing>
      </w:r>
    </w:p>
    <w:p>
      <w:pPr>
        <w:pStyle w:val="TextBody"/>
        <w:keepNext w:val="true"/>
        <w:pageBreakBefore w:val="false"/>
        <w:widowControl/>
        <w:pBdr/>
        <w:bidi w:val="0"/>
        <w:spacing w:before="48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Intercont (Cayman) Limited</w:t>
      </w:r>
    </w:p>
    <w:p>
      <w:pPr>
        <w:pStyle w:val="TextBody"/>
        <w:keepNext w:val="true"/>
        <w:pageBreakBefore w:val="false"/>
        <w:widowControl/>
        <w:pBdr/>
        <w:bidi w:val="0"/>
        <w:spacing w:before="48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Sole Placement Agent</w:t>
      </w:r>
    </w:p>
    <w:p>
      <w:pPr>
        <w:pStyle w:val="TextBody"/>
        <w:keepNext w:val="false"/>
        <w:pageBreakBefore w:val="false"/>
        <w:widowControl/>
        <w:pBdr/>
        <w:bidi w:val="0"/>
        <w:spacing w:before="480" w:after="283"/>
        <w:jc w:val="center"/>
        <w:rPr>
          <w:caps w:val="false"/>
          <w:smallCaps w:val="false"/>
        </w:rPr>
      </w:pPr>
      <w:r>
        <w:rPr>
          <w:caps w:val="false"/>
          <w:smallCaps w:val="false"/>
        </w:rPr>
        <w:drawing>
          <wp:inline distT="0" distB="0" distL="0" distR="0">
            <wp:extent cx="207645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76450" cy="390525"/>
                    </a:xfrm>
                    <a:prstGeom prst="rect">
                      <a:avLst/>
                    </a:prstGeom>
                  </pic:spPr>
                </pic:pic>
              </a:graphicData>
            </a:graphic>
          </wp:inline>
        </w:drawing>
      </w:r>
    </w:p>
    <w:p>
      <w:pPr>
        <w:pStyle w:val="TextBody"/>
        <w:keepNext w:val="false"/>
        <w:pageBreakBefore w:val="false"/>
        <w:widowControl/>
        <w:pBdr/>
        <w:bidi w:val="0"/>
        <w:spacing w:before="600" w:after="8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7, 2026</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194</Pages>
  <Words>119406</Words>
  <Characters>650000</Characters>
  <CharactersWithSpaces>771668</CharactersWithSpaces>
  <Paragraphs>12345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