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3538-s8_intercont.htm"/>
      <w:bookmarkStart w:id="1" w:name="ksea0303538s8_intercont"/>
      <w:bookmarkEnd w:id="0"/>
      <w:bookmarkEnd w:id="1"/>
      <w:r>
        <w:rPr>
          <w:rFonts w:ascii="Times New Roman;Times;Serif" w:hAnsi="Times New Roman;Times;Serif"/>
          <w:b/>
          <w:i w:val="false"/>
          <w:caps w:val="false"/>
          <w:smallCaps w:val="false"/>
          <w:sz w:val="20"/>
        </w:rPr>
        <w:t>As filed with the Securities and Exchange Commission on September 11,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 (Cayman)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855"/>
        <w:gridCol w:w="60"/>
        <w:gridCol w:w="1775"/>
      </w:tblGrid>
      <w:tr>
        <w:trPr/>
        <w:tc>
          <w:tcPr>
            <w:tcW w:w="28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  </w:t>
            </w:r>
          </w:p>
        </w:tc>
      </w:tr>
      <w:tr>
        <w:trPr/>
        <w:tc>
          <w:tcPr>
            <w:tcW w:w="2855" w:type="dxa"/>
            <w:tcBorders/>
            <w:tcMar>
              <w:bottom w:w="0" w:type="dxa"/>
            </w:tcMar>
            <w:vAlign w:val="center"/>
          </w:tcPr>
          <w:p>
            <w:pPr>
              <w:pStyle w:val="TableContents"/>
              <w:bidi w:val="0"/>
              <w:spacing w:before="0" w:after="283"/>
              <w:jc w:val="center"/>
              <w:rPr/>
            </w:pPr>
            <w:r>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 OCEAN DRIVE, SINGAPORE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098187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 (Cayman)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Stock Incentive Plan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 New York, NY 10168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947-7200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Muchun Zhu</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Intercont (Cayman) Limited</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8501, 11/F., Capital Centre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 Gloucester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Wanchai,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060"/>
        <w:gridCol w:w="60"/>
        <w:gridCol w:w="2465"/>
      </w:tblGrid>
      <w:tr>
        <w:trPr/>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the board of directors of Intercont (Cayman) Limited (the “Registrant,” “we,” “us,” or “our”) approved the Registrant’s 2026 Stock Incentive Plan (the “Plan”). Under the Plan, the maximum aggregate number of Class A Ordinary Shares that may be issued pursuant awards granted under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Registration Statement on Form S-8 (this “Registration Statement”) is to register the 5,087,548 Class A Ordinary Shares that are authorized for issuance under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specified in Item 1 and Item 2 of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Securities and Exchange Commission (the “Commission”) are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(a) The Registrant’s Annual Report on </w:t>
      </w:r>
      <w:hyperlink r:id="rId2">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June 30, 2025, filed with the Commission on October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reports filed pursuant to Section 13(a) or 15(d) of the Securities Exchange Act of 1934, as amended (the “Exchange Act”) since the end of the fiscal year covered by the registrant document referred to in (a) above;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The description of the Registrant’s Ordinary Shares as set forth in the Registrant’s Registration Statement on </w:t>
      </w:r>
      <w:hyperlink r:id="rId3">
        <w:r>
          <w:rPr>
            <w:rStyle w:val="InternetLink"/>
            <w:rFonts w:ascii="Times New Roman;Times;Serif" w:hAnsi="Times New Roman;Times;Serif"/>
            <w:b w:val="false"/>
            <w:i w:val="false"/>
            <w:caps w:val="false"/>
            <w:smallCaps w:val="false"/>
            <w:sz w:val="20"/>
          </w:rPr>
          <w:t>Form 8-A12B</w:t>
        </w:r>
      </w:hyperlink>
      <w:r>
        <w:rPr>
          <w:rFonts w:ascii="Times New Roman;Times;Serif" w:hAnsi="Times New Roman;Times;Serif"/>
          <w:b w:val="false"/>
          <w:i w:val="false"/>
          <w:caps w:val="false"/>
          <w:smallCaps w:val="false"/>
          <w:sz w:val="20"/>
        </w:rPr>
        <w:t>, filed by the Registrant with the Commission on March 27, 2025, including any amendment or report filed for the purpose of updating such description.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the Registrant pursuant to Sections 13(a), 13(c), 14 or 15(d) of the Exchange Act, subsequent to the effective date of this Registration Statement, prior to the filing of a post-effective amendment to this Registration Statement indicating that all securities offered hereby have been sold or deregistering all securities then remaining unsold, shall be deemed to be incorporated by reference herein and to be part hereof from the date of filing of such documents. Any statement contained herein or in any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to constitute a part of this Registration Statement, except as so modified or superseded.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indemnified person’s own fraud or dishonesty, willful default or willful neglect, or against the consequences of committing a crime. Our third amended and restated memorandum and articles of association provides that to the extent permitted by law, the Registrant shall indemnify each existing or former director (including an alternate director), secretary and other officer of the Registrant (including an investment adviser or an administrator or liquidator) and their personal representatives against:</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actions, proceedings, costs, charges, expenses, losses, damages or liabilities incurred or sustained by the existing or former director (including an alternate director), secretary or officer in or about the conduct of the Registrant’s business or affairs or in the execution or discharge of the existing or former director’s (including an alternate director’s), secretary’s or officer’s duties, powers, authorities or discretions; and</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paragraph (a), all costs, expenses, losses or liabilities incurred by the existing or former director (including an alternate director), secretary or officer in defending (whether successfully or otherwise) any civil, criminal, administrative or investigative proceedings (whether threatened, pending or completed) concerning the Registrant or its affairs in any court or tribunal, whether in the Cayman Islands or elsewhere.</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an alternate director), secretary or officer, however, shall be indemnified in respect of any matter arising out of his own dishonesty.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the Companies Act, the Registrant may make a payment, or agree to make a payment, whether by way of advance, loan or otherwise, for any legal costs incurred by an existing or former director (including alternate director), secretary or officer of the Registrant in respect of any matter identified in the Registrant’s third amended and restated articles of association on condition that the director (including alternate director), secretary or officer must repay the amount paid by the Registrant to the extent that it is ultimately found not liable to indemnify the director (including alternate director), secretary or that officer for those legal costs.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standard of conduct is generally the same as permitted under the Delaware General Corporation Law for a Delaware corporation.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the Registrant’s third amended and restated memorandum and articles of association.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Index.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749" w:type="dxa"/>
        <w:jc w:val="left"/>
        <w:tblInd w:w="0" w:type="dxa"/>
        <w:tblLayout w:type="fixed"/>
        <w:tblCellMar>
          <w:top w:w="0" w:type="dxa"/>
          <w:left w:w="0" w:type="dxa"/>
          <w:bottom w:w="0" w:type="dxa"/>
          <w:right w:w="0" w:type="dxa"/>
        </w:tblCellMar>
      </w:tblPr>
      <w:tblGrid>
        <w:gridCol w:w="1655"/>
        <w:gridCol w:w="717"/>
        <w:gridCol w:w="2377"/>
      </w:tblGrid>
      <w:tr>
        <w:trPr/>
        <w:tc>
          <w:tcPr>
            <w:tcW w:w="165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INTERCONT(CAYMAN) LIMITED</w:t>
            </w:r>
          </w:p>
        </w:tc>
      </w:tr>
      <w:tr>
        <w:trPr/>
        <w:tc>
          <w:tcPr>
            <w:tcW w:w="165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11, 2026</w:t>
            </w:r>
          </w:p>
        </w:tc>
        <w:tc>
          <w:tcPr>
            <w:tcW w:w="7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7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Muchun Zhu</w:t>
            </w:r>
          </w:p>
        </w:tc>
      </w:tr>
      <w:tr>
        <w:trPr/>
        <w:tc>
          <w:tcPr>
            <w:tcW w:w="1655"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Muchun Zhu</w:t>
            </w:r>
          </w:p>
        </w:tc>
      </w:tr>
      <w:tr>
        <w:trPr/>
        <w:tc>
          <w:tcPr>
            <w:tcW w:w="1655"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8"/>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authorizes and appoints Muchun Zhu with full power to act alone, as such person’s true and lawful attorney-in-fact, with the power of substitution, for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full power and authority to do and perform each and every act and thing requisite and necessary to be done as fully to all intents and purposes as such person might or could do in person, hereby ratifying and confirming all that said attorney-in-fact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 indicated.</w:t>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tblLayout w:type="fixed"/>
        <w:tblCellMar>
          <w:top w:w="0" w:type="dxa"/>
          <w:left w:w="0" w:type="dxa"/>
          <w:bottom w:w="28" w:type="dxa"/>
          <w:right w:w="0" w:type="dxa"/>
        </w:tblCellMar>
      </w:tblPr>
      <w:tblGrid>
        <w:gridCol w:w="2510"/>
        <w:gridCol w:w="60"/>
        <w:gridCol w:w="3515"/>
        <w:gridCol w:w="60"/>
        <w:gridCol w:w="1655"/>
      </w:tblGrid>
      <w:tr>
        <w:trPr/>
        <w:tc>
          <w:tcPr>
            <w:tcW w:w="25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5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1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Muchun Zhu</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2026</w:t>
            </w:r>
          </w:p>
        </w:tc>
      </w:tr>
      <w:tr>
        <w:trPr/>
        <w:tc>
          <w:tcPr>
            <w:tcW w:w="25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Muchun Zhu</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1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Qingyuan Wang</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2026</w:t>
            </w:r>
          </w:p>
        </w:tc>
      </w:tr>
      <w:tr>
        <w:trPr/>
        <w:tc>
          <w:tcPr>
            <w:tcW w:w="25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Qingyuan Wang</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1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Chan Kelvin Zhi Hong </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2026</w:t>
            </w:r>
          </w:p>
        </w:tc>
      </w:tr>
      <w:tr>
        <w:trPr/>
        <w:tc>
          <w:tcPr>
            <w:tcW w:w="25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Chan Kelvin Zhi Hong </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1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Lee Chee Wai</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2026</w:t>
            </w:r>
          </w:p>
        </w:tc>
      </w:tr>
      <w:tr>
        <w:trPr/>
        <w:tc>
          <w:tcPr>
            <w:tcW w:w="25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Lee Chee Wai</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51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Wong Khai Meng</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2026</w:t>
            </w:r>
          </w:p>
        </w:tc>
      </w:tr>
      <w:tr>
        <w:trPr/>
        <w:tc>
          <w:tcPr>
            <w:tcW w:w="25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Wong Khai Meng</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REPRESENTATITIVE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the undersigned, the duly authorized representative in the United States of Intercont (Cayman) Limited has signed this registration statement or amendment on September 11, 2026.</w:t>
      </w:r>
    </w:p>
    <w:p>
      <w:pPr>
        <w:pStyle w:val="TextBody"/>
        <w:bidi w:val="0"/>
        <w:spacing w:before="0" w:after="0"/>
        <w:ind w:left="800" w:right="800" w:hanging="0"/>
        <w:jc w:val="center"/>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320"/>
        <w:gridCol w:w="5060"/>
      </w:tblGrid>
      <w:tr>
        <w:trPr/>
        <w:tc>
          <w:tcPr>
            <w:tcW w:w="75"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U.S. Representative</w:t>
            </w:r>
          </w:p>
        </w:tc>
      </w:tr>
      <w:tr>
        <w:trPr/>
        <w:tc>
          <w:tcPr>
            <w:tcW w:w="75"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Cogency Global Inc.</w:t>
            </w:r>
          </w:p>
        </w:tc>
      </w:tr>
      <w:tr>
        <w:trPr/>
        <w:tc>
          <w:tcPr>
            <w:tcW w:w="75"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Colleen A. De Vries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Colleen A. De Vries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Senior Vice President on behalf of Cogency Global, Inc.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 (CAYMAN)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Third Amended and Restated Memorandum and Article of Association (incorporated by reference to Exhibit 3.1 to the Registrant’s Form 6-K filed on June 8, 2026).</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hyperlink w:anchor="ea030353801ex5-1.htm">
              <w:r>
                <w:rPr>
                  <w:rStyle w:val="InternetLink"/>
                  <w:rFonts w:ascii="Times New Roman;Times;Serif" w:hAnsi="Times New Roman;Times;Serif"/>
                  <w:sz w:val="20"/>
                </w:rPr>
                <w:t>Legal Opinion of Ogier</w:t>
              </w:r>
            </w:hyperlink>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ea030353801ex23-1.htm">
              <w:r>
                <w:rPr>
                  <w:rStyle w:val="InternetLink"/>
                  <w:rFonts w:ascii="Times New Roman;Times;Serif" w:hAnsi="Times New Roman;Times;Serif"/>
                  <w:sz w:val="20"/>
                </w:rPr>
                <w:t>Consent of UHY LLP</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hyperlink w:anchor="ea030353801ex5-1.htm">
              <w:r>
                <w:rPr>
                  <w:rStyle w:val="InternetLink"/>
                  <w:rFonts w:ascii="Times New Roman;Times;Serif" w:hAnsi="Times New Roman;Times;Serif"/>
                  <w:sz w:val="20"/>
                </w:rPr>
                <w:t>Consent of Ogier (included in Exhibit 5.1)</w:t>
              </w:r>
            </w:hyperlink>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a_008">
              <w:r>
                <w:rPr>
                  <w:rStyle w:val="InternetLink"/>
                  <w:rFonts w:ascii="Times New Roman;Times;Serif" w:hAnsi="Times New Roman;Times;Serif"/>
                  <w:sz w:val="20"/>
                </w:rPr>
                <w:t>Power of Attorney (included on signature page hereto)</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hyperlink w:anchor="ea030353801ex99-1.htm">
              <w:r>
                <w:rPr>
                  <w:rStyle w:val="InternetLink"/>
                  <w:rFonts w:ascii="Times New Roman;Times;Serif" w:hAnsi="Times New Roman;Times;Serif"/>
                  <w:sz w:val="20"/>
                </w:rPr>
                <w:t>Intercont (Cayman) Limited 2026 Stock Incentive Plan</w:t>
              </w:r>
            </w:hyperlink>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ea030353801ex-fee.htm">
              <w:r>
                <w:rPr>
                  <w:rStyle w:val="InternetLink"/>
                  <w:rFonts w:ascii="Times New Roman;Times;Serif" w:hAnsi="Times New Roman;Times;Serif"/>
                  <w:sz w:val="20"/>
                </w:rPr>
                <w:t>Filing Fee Exhibit</w:t>
              </w:r>
            </w:hyperlink>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395"/>
        <w:gridCol w:w="1580"/>
      </w:tblGrid>
      <w:tr>
        <w:trPr/>
        <w:tc>
          <w:tcPr>
            <w:tcW w:w="39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left"/>
              <w:rPr/>
            </w:pPr>
            <w:r>
              <w:rPr/>
              <w:t>Filed herewith</w:t>
            </w:r>
          </w:p>
        </w:tc>
      </w:tr>
      <w:tr>
        <w:trPr/>
        <w:tc>
          <w:tcPr>
            <w:tcW w:w="39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left"/>
              <w:rPr/>
            </w:pPr>
            <w:r>
              <w:rPr/>
              <w:t>Previously Filed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3" w:name="ea030353801ex5-1.htm"/>
      <w:bookmarkStart w:id="4" w:name="ksea030353801ex51"/>
      <w:bookmarkEnd w:id="3"/>
      <w:bookmarkEnd w:id="4"/>
      <w:r>
        <w:rPr>
          <w:b/>
        </w:rPr>
        <w:t>Exhibit 5.1</w:t>
      </w:r>
      <w:r>
        <w:br w:type="page"/>
      </w:r>
    </w:p>
    <w:p>
      <w:pPr>
        <w:pStyle w:val="TextBody"/>
        <w:bidi w:val="0"/>
        <w:jc w:val="center"/>
        <w:rPr/>
      </w:pPr>
      <w:r>
        <w:rPr/>
        <w:t> </w:t>
      </w:r>
    </w:p>
    <w:p>
      <w:pPr>
        <w:pStyle w:val="TextBody"/>
        <w:bidi w:val="0"/>
        <w:jc w:val="center"/>
        <w:rPr/>
      </w:pPr>
      <w:r>
        <w:rPr/>
        <w:drawing>
          <wp:inline distT="0" distB="0" distL="0" distR="0">
            <wp:extent cx="111442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1114425" cy="457200"/>
                    </a:xfrm>
                    <a:prstGeom prst="rect">
                      <a:avLst/>
                    </a:prstGeom>
                  </pic:spPr>
                </pic:pic>
              </a:graphicData>
            </a:graphic>
          </wp:inline>
        </w:drawing>
      </w:r>
    </w:p>
    <w:p>
      <w:pPr>
        <w:pStyle w:val="TextBody"/>
        <w:bidi w:val="0"/>
        <w:jc w:val="center"/>
        <w:rPr/>
      </w:pPr>
      <w:r>
        <w:rPr/>
        <w:t> </w:t>
      </w:r>
    </w:p>
    <w:tbl>
      <w:tblPr>
        <w:tblW w:w="6437" w:type="dxa"/>
        <w:jc w:val="left"/>
        <w:tblInd w:w="0" w:type="dxa"/>
        <w:tblLayout w:type="fixed"/>
        <w:tblCellMar>
          <w:top w:w="0" w:type="dxa"/>
          <w:left w:w="0" w:type="dxa"/>
          <w:bottom w:w="0" w:type="dxa"/>
          <w:right w:w="0" w:type="dxa"/>
        </w:tblCellMar>
      </w:tblPr>
      <w:tblGrid>
        <w:gridCol w:w="2675"/>
        <w:gridCol w:w="97"/>
        <w:gridCol w:w="3665"/>
      </w:tblGrid>
      <w:tr>
        <w:trPr/>
        <w:tc>
          <w:tcPr>
            <w:tcW w:w="2675" w:type="dxa"/>
            <w:tcBorders/>
            <w:vAlign w:val="center"/>
          </w:tcPr>
          <w:p>
            <w:pPr>
              <w:pStyle w:val="TableContents"/>
              <w:bidi w:val="0"/>
              <w:spacing w:before="0" w:after="283"/>
              <w:jc w:val="left"/>
              <w:rPr/>
            </w:pPr>
            <w:r>
              <w:rPr/>
              <w:t>Intercont (Cayman) Limited</w:t>
            </w:r>
          </w:p>
        </w:tc>
        <w:tc>
          <w:tcPr>
            <w:tcW w:w="97" w:type="dxa"/>
            <w:tcBorders/>
            <w:vAlign w:val="center"/>
          </w:tcPr>
          <w:p>
            <w:pPr>
              <w:pStyle w:val="TableContents"/>
              <w:bidi w:val="0"/>
              <w:spacing w:before="0" w:after="283"/>
              <w:ind w:left="0" w:right="0" w:firstLine="37"/>
              <w:jc w:val="left"/>
              <w:rPr/>
            </w:pPr>
            <w:r>
              <w:rPr/>
              <w:t> </w:t>
            </w:r>
          </w:p>
        </w:tc>
        <w:tc>
          <w:tcPr>
            <w:tcW w:w="3665" w:type="dxa"/>
            <w:tcBorders/>
            <w:vAlign w:val="center"/>
          </w:tcPr>
          <w:p>
            <w:pPr>
              <w:pStyle w:val="TableContents"/>
              <w:bidi w:val="0"/>
              <w:spacing w:before="0" w:after="283"/>
              <w:jc w:val="left"/>
              <w:rPr/>
            </w:pPr>
            <w:r>
              <w:rPr>
                <w:rFonts w:ascii="Times New Roman;Times;Serif" w:hAnsi="Times New Roman;Times;Serif"/>
                <w:b/>
              </w:rPr>
              <w:t>D  </w:t>
            </w:r>
            <w:r>
              <w:rPr>
                <w:b/>
              </w:rPr>
              <w:t>+852 3656 6054 / +852 3656 6073</w:t>
            </w:r>
          </w:p>
        </w:tc>
      </w:tr>
      <w:tr>
        <w:trPr/>
        <w:tc>
          <w:tcPr>
            <w:tcW w:w="26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firstLine="37"/>
              <w:jc w:val="left"/>
              <w:rPr/>
            </w:pPr>
            <w:r>
              <w:rPr/>
              <w:t> </w:t>
            </w:r>
          </w:p>
        </w:tc>
        <w:tc>
          <w:tcPr>
            <w:tcW w:w="3665" w:type="dxa"/>
            <w:tcBorders/>
            <w:vAlign w:val="center"/>
          </w:tcPr>
          <w:p>
            <w:pPr>
              <w:pStyle w:val="TableContents"/>
              <w:bidi w:val="0"/>
              <w:spacing w:before="0" w:after="283"/>
              <w:jc w:val="left"/>
              <w:rPr/>
            </w:pPr>
            <w:r>
              <w:rPr>
                <w:rFonts w:ascii="Times New Roman;Times;Serif" w:hAnsi="Times New Roman;Times;Serif"/>
                <w:b/>
              </w:rPr>
              <w:t xml:space="preserve">E </w:t>
            </w:r>
            <w:r>
              <w:rPr>
                <w:b/>
              </w:rPr>
              <w:t>nathan.powell@ogier.com</w:t>
            </w:r>
          </w:p>
        </w:tc>
      </w:tr>
      <w:tr>
        <w:trPr/>
        <w:tc>
          <w:tcPr>
            <w:tcW w:w="26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firstLine="37"/>
              <w:jc w:val="left"/>
              <w:rPr/>
            </w:pPr>
            <w:r>
              <w:rPr/>
              <w:t> </w:t>
            </w:r>
          </w:p>
        </w:tc>
        <w:tc>
          <w:tcPr>
            <w:tcW w:w="3665" w:type="dxa"/>
            <w:tcBorders/>
            <w:vAlign w:val="center"/>
          </w:tcPr>
          <w:p>
            <w:pPr>
              <w:pStyle w:val="TableContents"/>
              <w:bidi w:val="0"/>
              <w:spacing w:before="0" w:after="283"/>
              <w:jc w:val="left"/>
              <w:rPr>
                <w:b/>
              </w:rPr>
            </w:pPr>
            <w:r>
              <w:rPr>
                <w:b/>
              </w:rPr>
              <w:t>rachel.huang@ogier.com</w:t>
            </w:r>
          </w:p>
        </w:tc>
      </w:tr>
      <w:tr>
        <w:trPr/>
        <w:tc>
          <w:tcPr>
            <w:tcW w:w="26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both"/>
              <w:rPr/>
            </w:pPr>
            <w:r>
              <w:rPr/>
              <w:t>Reference: NMP/RYH/518877.00001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September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 (Cayman) Limited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Cayman Islands counsel to the Company in connection with the Company’s registration statement on Form S-8, including all amendments and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as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as amended to date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The Registration Statement relates to the registration of an aggregate of 5,087,548 Class A ordinary shares of a par value of US$0.0025 each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to be issued pursuant to the Company’s 2026 Stock Incentive Plan adopted by the board of directors of the Company on 9 September 2026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and 23.2 to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4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2090" w:type="dxa"/>
            <w:tcBorders/>
            <w:vAlign w:val="center"/>
          </w:tcPr>
          <w:p>
            <w:pPr>
              <w:pStyle w:val="TableContents"/>
              <w:bidi w:val="0"/>
              <w:spacing w:before="0" w:after="283"/>
              <w:jc w:val="both"/>
              <w:rPr/>
            </w:pPr>
            <w:r>
              <w:rPr/>
              <w:t>Documents examined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copies or drafts of the following documents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(a)</w:t>
            </w:r>
          </w:p>
        </w:tc>
        <w:tc>
          <w:tcPr>
            <w:tcW w:w="9915" w:type="dxa"/>
            <w:tcBorders/>
            <w:vAlign w:val="center"/>
          </w:tcPr>
          <w:p>
            <w:pPr>
              <w:pStyle w:val="TableContents"/>
              <w:bidi w:val="0"/>
              <w:spacing w:before="0" w:after="283"/>
              <w:jc w:val="both"/>
              <w:rPr/>
            </w:pPr>
            <w:r>
              <w:rPr/>
              <w:t xml:space="preserve">the certificate of incorporation of the Company dated 4 July 2023 issued by the Registrar of Companies of the Cayman Islands (the </w:t>
            </w:r>
            <w:r>
              <w:rPr>
                <w:b/>
              </w:rPr>
              <w:t>Registrar</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0" w:type="dxa"/>
            <w:tcBorders/>
            <w:vAlign w:val="center"/>
          </w:tcPr>
          <w:p>
            <w:pPr>
              <w:pStyle w:val="TableContents"/>
              <w:bidi w:val="0"/>
              <w:spacing w:before="0" w:after="283"/>
              <w:jc w:val="both"/>
              <w:rPr/>
            </w:pPr>
            <w:r>
              <w:rPr/>
              <w:t xml:space="preserve">the third amended and restated memorandum and articles of association of the Company adopted by a special resolution passed on 5 June 2026 and filed with the Registrar on 18 June 2026 (the </w:t>
            </w:r>
            <w:r>
              <w:rPr>
                <w:b/>
              </w:rPr>
              <w:t>Memorandum and Articles</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(c)</w:t>
            </w:r>
          </w:p>
        </w:tc>
        <w:tc>
          <w:tcPr>
            <w:tcW w:w="9910" w:type="dxa"/>
            <w:tcBorders/>
            <w:vAlign w:val="center"/>
          </w:tcPr>
          <w:p>
            <w:pPr>
              <w:pStyle w:val="TableContents"/>
              <w:bidi w:val="0"/>
              <w:spacing w:before="0" w:after="283"/>
              <w:jc w:val="both"/>
              <w:rPr/>
            </w:pPr>
            <w:r>
              <w:rPr/>
              <w:t xml:space="preserve">a certificate of good standing dated 4 June 2026 (the </w:t>
            </w:r>
            <w:r>
              <w:rPr>
                <w:b/>
              </w:rPr>
              <w:t>Good Standing Certificate</w:t>
            </w:r>
            <w:r>
              <w:rPr/>
              <w:t>) issued by the Registrar in respect of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2"/>
        <w:gridCol w:w="1451"/>
        <w:gridCol w:w="1541"/>
        <w:gridCol w:w="210"/>
        <w:gridCol w:w="2151"/>
      </w:tblGrid>
      <w:tr>
        <w:trPr/>
        <w:tc>
          <w:tcPr>
            <w:tcW w:w="4852" w:type="dxa"/>
            <w:tcBorders/>
            <w:vAlign w:val="center"/>
          </w:tcPr>
          <w:p>
            <w:pPr>
              <w:pStyle w:val="TableContents"/>
              <w:bidi w:val="0"/>
              <w:spacing w:before="0" w:after="283"/>
              <w:jc w:val="both"/>
              <w:rPr>
                <w:b/>
              </w:rPr>
            </w:pPr>
            <w:r>
              <w:rPr>
                <w:b/>
              </w:rPr>
              <w:t>Ogier</w:t>
            </w:r>
          </w:p>
        </w:tc>
        <w:tc>
          <w:tcPr>
            <w:tcW w:w="1451" w:type="dxa"/>
            <w:tcBorders/>
            <w:vAlign w:val="center"/>
          </w:tcPr>
          <w:p>
            <w:pPr>
              <w:pStyle w:val="TableContents"/>
              <w:bidi w:val="0"/>
              <w:spacing w:before="0" w:after="283"/>
              <w:jc w:val="both"/>
              <w:rPr/>
            </w:pPr>
            <w:r>
              <w:rPr/>
              <w:t> </w:t>
            </w:r>
          </w:p>
        </w:tc>
        <w:tc>
          <w:tcPr>
            <w:tcW w:w="1541" w:type="dxa"/>
            <w:tcBorders/>
            <w:vAlign w:val="center"/>
          </w:tcPr>
          <w:p>
            <w:pPr>
              <w:pStyle w:val="TableContents"/>
              <w:bidi w:val="0"/>
              <w:spacing w:before="0" w:after="283"/>
              <w:jc w:val="both"/>
              <w:rPr/>
            </w:pPr>
            <w:r>
              <w:rPr/>
              <w:t> </w:t>
            </w:r>
          </w:p>
        </w:tc>
        <w:tc>
          <w:tcPr>
            <w:tcW w:w="2361" w:type="dxa"/>
            <w:gridSpan w:val="2"/>
            <w:tcBorders/>
            <w:vAlign w:val="center"/>
          </w:tcPr>
          <w:p>
            <w:pPr>
              <w:pStyle w:val="TableContents"/>
              <w:bidi w:val="0"/>
              <w:spacing w:before="0" w:after="283"/>
              <w:jc w:val="both"/>
              <w:rPr/>
            </w:pPr>
            <w:r>
              <w:rPr/>
              <w:t> </w:t>
            </w:r>
          </w:p>
        </w:tc>
      </w:tr>
      <w:tr>
        <w:trPr/>
        <w:tc>
          <w:tcPr>
            <w:tcW w:w="4852" w:type="dxa"/>
            <w:tcBorders/>
            <w:vAlign w:val="center"/>
          </w:tcPr>
          <w:p>
            <w:pPr>
              <w:pStyle w:val="TableContents"/>
              <w:bidi w:val="0"/>
              <w:spacing w:before="0" w:after="283"/>
              <w:jc w:val="both"/>
              <w:rPr>
                <w:b w:val="false"/>
              </w:rPr>
            </w:pPr>
            <w:r>
              <w:rPr>
                <w:b w:val="false"/>
              </w:rPr>
              <w:t>Providing advice on British Virgin Islands, Cayman Islands and Guernsey laws</w:t>
            </w:r>
          </w:p>
        </w:tc>
        <w:tc>
          <w:tcPr>
            <w:tcW w:w="1451" w:type="dxa"/>
            <w:tcBorders/>
            <w:vAlign w:val="center"/>
          </w:tcPr>
          <w:p>
            <w:pPr>
              <w:pStyle w:val="TableContents"/>
              <w:bidi w:val="0"/>
              <w:spacing w:before="0" w:after="283"/>
              <w:jc w:val="both"/>
              <w:rPr/>
            </w:pPr>
            <w:r>
              <w:rPr/>
              <w:t> </w:t>
            </w:r>
          </w:p>
        </w:tc>
        <w:tc>
          <w:tcPr>
            <w:tcW w:w="1541" w:type="dxa"/>
            <w:tcBorders/>
            <w:vAlign w:val="center"/>
          </w:tcPr>
          <w:p>
            <w:pPr>
              <w:pStyle w:val="TableContents"/>
              <w:bidi w:val="0"/>
              <w:spacing w:before="0" w:after="283"/>
              <w:jc w:val="both"/>
              <w:rPr/>
            </w:pPr>
            <w:r>
              <w:rPr/>
              <w:t> </w:t>
            </w:r>
          </w:p>
        </w:tc>
        <w:tc>
          <w:tcPr>
            <w:tcW w:w="2361" w:type="dxa"/>
            <w:gridSpan w:val="2"/>
            <w:tcBorders/>
            <w:vAlign w:val="center"/>
          </w:tcPr>
          <w:p>
            <w:pPr>
              <w:pStyle w:val="TableContents"/>
              <w:bidi w:val="0"/>
              <w:spacing w:before="0" w:after="283"/>
              <w:jc w:val="both"/>
              <w:rPr/>
            </w:pPr>
            <w:r>
              <w:rPr/>
              <w:t> </w:t>
            </w:r>
          </w:p>
        </w:tc>
      </w:tr>
      <w:tr>
        <w:trPr/>
        <w:tc>
          <w:tcPr>
            <w:tcW w:w="4852" w:type="dxa"/>
            <w:tcBorders/>
            <w:vAlign w:val="center"/>
          </w:tcPr>
          <w:p>
            <w:pPr>
              <w:pStyle w:val="TableContents"/>
              <w:bidi w:val="0"/>
              <w:spacing w:before="0" w:after="283"/>
              <w:jc w:val="both"/>
              <w:rPr/>
            </w:pPr>
            <w:r>
              <w:rPr/>
              <w:t> </w:t>
            </w:r>
          </w:p>
        </w:tc>
        <w:tc>
          <w:tcPr>
            <w:tcW w:w="1451" w:type="dxa"/>
            <w:tcBorders/>
            <w:vAlign w:val="center"/>
          </w:tcPr>
          <w:p>
            <w:pPr>
              <w:pStyle w:val="TableContents"/>
              <w:bidi w:val="0"/>
              <w:spacing w:before="0" w:after="283"/>
              <w:jc w:val="both"/>
              <w:rPr/>
            </w:pPr>
            <w:r>
              <w:rPr/>
              <w:t> </w:t>
            </w:r>
          </w:p>
        </w:tc>
        <w:tc>
          <w:tcPr>
            <w:tcW w:w="1541" w:type="dxa"/>
            <w:tcBorders/>
            <w:vAlign w:val="center"/>
          </w:tcPr>
          <w:p>
            <w:pPr>
              <w:pStyle w:val="TableContents"/>
              <w:bidi w:val="0"/>
              <w:spacing w:before="0" w:after="283"/>
              <w:jc w:val="both"/>
              <w:rPr/>
            </w:pPr>
            <w:r>
              <w:rPr/>
              <w:t> </w:t>
            </w:r>
          </w:p>
        </w:tc>
        <w:tc>
          <w:tcPr>
            <w:tcW w:w="2361" w:type="dxa"/>
            <w:gridSpan w:val="2"/>
            <w:tcBorders/>
            <w:vAlign w:val="center"/>
          </w:tcPr>
          <w:p>
            <w:pPr>
              <w:pStyle w:val="TableContents"/>
              <w:bidi w:val="0"/>
              <w:spacing w:before="0" w:after="283"/>
              <w:jc w:val="both"/>
              <w:rPr/>
            </w:pPr>
            <w:r>
              <w:rPr/>
              <w:t> </w:t>
            </w:r>
          </w:p>
        </w:tc>
      </w:tr>
      <w:tr>
        <w:trPr/>
        <w:tc>
          <w:tcPr>
            <w:tcW w:w="4852" w:type="dxa"/>
            <w:tcBorders/>
            <w:vAlign w:val="center"/>
          </w:tcPr>
          <w:p>
            <w:pPr>
              <w:pStyle w:val="TableContents"/>
              <w:bidi w:val="0"/>
              <w:spacing w:before="0" w:after="283"/>
              <w:jc w:val="both"/>
              <w:rPr>
                <w:b/>
              </w:rPr>
            </w:pPr>
            <w:r>
              <w:rPr>
                <w:b/>
              </w:rPr>
              <w:t>Floor 11 Central Tower</w:t>
            </w:r>
          </w:p>
        </w:tc>
        <w:tc>
          <w:tcPr>
            <w:tcW w:w="1451" w:type="dxa"/>
            <w:tcBorders/>
            <w:vAlign w:val="center"/>
          </w:tcPr>
          <w:p>
            <w:pPr>
              <w:pStyle w:val="TableContents"/>
              <w:bidi w:val="0"/>
              <w:spacing w:before="0" w:after="283"/>
              <w:jc w:val="both"/>
              <w:rPr>
                <w:b/>
              </w:rPr>
            </w:pPr>
            <w:r>
              <w:rPr>
                <w:b/>
              </w:rPr>
              <w:t>Partners</w:t>
            </w:r>
          </w:p>
        </w:tc>
        <w:tc>
          <w:tcPr>
            <w:tcW w:w="1541" w:type="dxa"/>
            <w:tcBorders/>
            <w:vAlign w:val="center"/>
          </w:tcPr>
          <w:p>
            <w:pPr>
              <w:pStyle w:val="TableContents"/>
              <w:bidi w:val="0"/>
              <w:spacing w:before="0" w:after="283"/>
              <w:jc w:val="both"/>
              <w:rPr/>
            </w:pPr>
            <w:r>
              <w:rPr/>
              <w:t>Yuki Yan</w:t>
            </w:r>
          </w:p>
        </w:tc>
        <w:tc>
          <w:tcPr>
            <w:tcW w:w="2361" w:type="dxa"/>
            <w:gridSpan w:val="2"/>
            <w:tcBorders/>
            <w:vAlign w:val="center"/>
          </w:tcPr>
          <w:p>
            <w:pPr>
              <w:pStyle w:val="TableContents"/>
              <w:bidi w:val="0"/>
              <w:spacing w:before="0" w:after="283"/>
              <w:jc w:val="both"/>
              <w:rPr/>
            </w:pPr>
            <w:r>
              <w:rPr/>
              <w:t> </w:t>
            </w:r>
          </w:p>
        </w:tc>
      </w:tr>
      <w:tr>
        <w:trPr/>
        <w:tc>
          <w:tcPr>
            <w:tcW w:w="4852" w:type="dxa"/>
            <w:tcBorders/>
            <w:vAlign w:val="center"/>
          </w:tcPr>
          <w:p>
            <w:pPr>
              <w:pStyle w:val="TableContents"/>
              <w:bidi w:val="0"/>
              <w:spacing w:before="0" w:after="283"/>
              <w:jc w:val="both"/>
              <w:rPr/>
            </w:pPr>
            <w:r>
              <w:rPr/>
              <w:t>28 Queen’s Road Central</w:t>
            </w:r>
          </w:p>
        </w:tc>
        <w:tc>
          <w:tcPr>
            <w:tcW w:w="1451" w:type="dxa"/>
            <w:tcBorders/>
            <w:vAlign w:val="center"/>
          </w:tcPr>
          <w:p>
            <w:pPr>
              <w:pStyle w:val="TableContents"/>
              <w:bidi w:val="0"/>
              <w:spacing w:before="0" w:after="283"/>
              <w:jc w:val="both"/>
              <w:rPr/>
            </w:pPr>
            <w:r>
              <w:rPr/>
              <w:t>Nicholas Plowman</w:t>
            </w:r>
          </w:p>
        </w:tc>
        <w:tc>
          <w:tcPr>
            <w:tcW w:w="1541" w:type="dxa"/>
            <w:tcBorders/>
            <w:vAlign w:val="center"/>
          </w:tcPr>
          <w:p>
            <w:pPr>
              <w:pStyle w:val="TableContents"/>
              <w:bidi w:val="0"/>
              <w:spacing w:before="0" w:after="283"/>
              <w:jc w:val="both"/>
              <w:rPr/>
            </w:pPr>
            <w:r>
              <w:rPr/>
              <w:t>David Lin</w:t>
            </w:r>
          </w:p>
        </w:tc>
        <w:tc>
          <w:tcPr>
            <w:tcW w:w="2361" w:type="dxa"/>
            <w:gridSpan w:val="2"/>
            <w:tcBorders/>
            <w:vAlign w:val="center"/>
          </w:tcPr>
          <w:p>
            <w:pPr>
              <w:pStyle w:val="TableContents"/>
              <w:bidi w:val="0"/>
              <w:spacing w:before="0" w:after="283"/>
              <w:jc w:val="both"/>
              <w:rPr/>
            </w:pPr>
            <w:r>
              <w:rPr/>
              <w:t> </w:t>
            </w:r>
          </w:p>
        </w:tc>
      </w:tr>
      <w:tr>
        <w:trPr/>
        <w:tc>
          <w:tcPr>
            <w:tcW w:w="4852" w:type="dxa"/>
            <w:tcBorders/>
            <w:vAlign w:val="center"/>
          </w:tcPr>
          <w:p>
            <w:pPr>
              <w:pStyle w:val="TableContents"/>
              <w:bidi w:val="0"/>
              <w:spacing w:before="0" w:after="283"/>
              <w:jc w:val="both"/>
              <w:rPr/>
            </w:pPr>
            <w:r>
              <w:rPr/>
              <w:t>Central</w:t>
            </w:r>
          </w:p>
        </w:tc>
        <w:tc>
          <w:tcPr>
            <w:tcW w:w="1451" w:type="dxa"/>
            <w:tcBorders/>
            <w:vAlign w:val="center"/>
          </w:tcPr>
          <w:p>
            <w:pPr>
              <w:pStyle w:val="TableContents"/>
              <w:bidi w:val="0"/>
              <w:spacing w:before="0" w:after="283"/>
              <w:jc w:val="both"/>
              <w:rPr/>
            </w:pPr>
            <w:r>
              <w:rPr/>
              <w:t>Nathan Powell</w:t>
            </w:r>
          </w:p>
        </w:tc>
        <w:tc>
          <w:tcPr>
            <w:tcW w:w="1541" w:type="dxa"/>
            <w:tcBorders/>
            <w:vAlign w:val="center"/>
          </w:tcPr>
          <w:p>
            <w:pPr>
              <w:pStyle w:val="TableContents"/>
              <w:bidi w:val="0"/>
              <w:spacing w:before="0" w:after="283"/>
              <w:jc w:val="both"/>
              <w:rPr/>
            </w:pPr>
            <w:r>
              <w:rPr/>
              <w:t>Alan Wong</w:t>
            </w:r>
          </w:p>
        </w:tc>
        <w:tc>
          <w:tcPr>
            <w:tcW w:w="2361" w:type="dxa"/>
            <w:gridSpan w:val="2"/>
            <w:tcBorders/>
            <w:vAlign w:val="center"/>
          </w:tcPr>
          <w:p>
            <w:pPr>
              <w:pStyle w:val="TableContents"/>
              <w:bidi w:val="0"/>
              <w:spacing w:before="0" w:after="283"/>
              <w:jc w:val="both"/>
              <w:rPr/>
            </w:pPr>
            <w:r>
              <w:rPr/>
              <w:t> </w:t>
            </w:r>
          </w:p>
        </w:tc>
      </w:tr>
      <w:tr>
        <w:trPr/>
        <w:tc>
          <w:tcPr>
            <w:tcW w:w="4852" w:type="dxa"/>
            <w:tcBorders/>
            <w:vAlign w:val="center"/>
          </w:tcPr>
          <w:p>
            <w:pPr>
              <w:pStyle w:val="TableContents"/>
              <w:bidi w:val="0"/>
              <w:spacing w:before="0" w:after="283"/>
              <w:jc w:val="both"/>
              <w:rPr/>
            </w:pPr>
            <w:r>
              <w:rPr/>
              <w:t>Hong Kong</w:t>
            </w:r>
          </w:p>
        </w:tc>
        <w:tc>
          <w:tcPr>
            <w:tcW w:w="1451" w:type="dxa"/>
            <w:tcBorders/>
            <w:vAlign w:val="center"/>
          </w:tcPr>
          <w:p>
            <w:pPr>
              <w:pStyle w:val="TableContents"/>
              <w:bidi w:val="0"/>
              <w:spacing w:before="0" w:after="283"/>
              <w:jc w:val="both"/>
              <w:rPr/>
            </w:pPr>
            <w:r>
              <w:rPr/>
              <w:t>Anthony Oakes</w:t>
            </w:r>
          </w:p>
        </w:tc>
        <w:tc>
          <w:tcPr>
            <w:tcW w:w="1541" w:type="dxa"/>
            <w:tcBorders/>
            <w:vAlign w:val="center"/>
          </w:tcPr>
          <w:p>
            <w:pPr>
              <w:pStyle w:val="TableContents"/>
              <w:bidi w:val="0"/>
              <w:spacing w:before="0" w:after="283"/>
              <w:jc w:val="both"/>
              <w:rPr/>
            </w:pPr>
            <w:r>
              <w:rPr/>
              <w:t>Janice Chu</w:t>
            </w:r>
          </w:p>
        </w:tc>
        <w:tc>
          <w:tcPr>
            <w:tcW w:w="2361" w:type="dxa"/>
            <w:gridSpan w:val="2"/>
            <w:tcBorders/>
            <w:vAlign w:val="center"/>
          </w:tcPr>
          <w:p>
            <w:pPr>
              <w:pStyle w:val="TableContents"/>
              <w:bidi w:val="0"/>
              <w:spacing w:before="0" w:after="283"/>
              <w:jc w:val="both"/>
              <w:rPr/>
            </w:pPr>
            <w:r>
              <w:rPr/>
              <w:t> </w:t>
            </w:r>
          </w:p>
        </w:tc>
      </w:tr>
      <w:tr>
        <w:trPr/>
        <w:tc>
          <w:tcPr>
            <w:tcW w:w="4852" w:type="dxa"/>
            <w:tcBorders/>
            <w:vAlign w:val="center"/>
          </w:tcPr>
          <w:p>
            <w:pPr>
              <w:pStyle w:val="TableContents"/>
              <w:bidi w:val="0"/>
              <w:spacing w:before="0" w:after="283"/>
              <w:jc w:val="both"/>
              <w:rPr/>
            </w:pPr>
            <w:r>
              <w:rPr/>
              <w:t> </w:t>
            </w:r>
          </w:p>
        </w:tc>
        <w:tc>
          <w:tcPr>
            <w:tcW w:w="1451" w:type="dxa"/>
            <w:tcBorders/>
            <w:vAlign w:val="center"/>
          </w:tcPr>
          <w:p>
            <w:pPr>
              <w:pStyle w:val="TableContents"/>
              <w:bidi w:val="0"/>
              <w:spacing w:before="0" w:after="283"/>
              <w:jc w:val="both"/>
              <w:rPr/>
            </w:pPr>
            <w:r>
              <w:rPr/>
              <w:t>Oliver Payne</w:t>
            </w:r>
          </w:p>
        </w:tc>
        <w:tc>
          <w:tcPr>
            <w:tcW w:w="1541" w:type="dxa"/>
            <w:tcBorders/>
            <w:vAlign w:val="center"/>
          </w:tcPr>
          <w:p>
            <w:pPr>
              <w:pStyle w:val="TableContents"/>
              <w:bidi w:val="0"/>
              <w:spacing w:before="0" w:after="283"/>
              <w:jc w:val="both"/>
              <w:rPr/>
            </w:pPr>
            <w:r>
              <w:rPr/>
              <w:t>Zhao Rong Ooi</w:t>
            </w:r>
          </w:p>
        </w:tc>
        <w:tc>
          <w:tcPr>
            <w:tcW w:w="2361" w:type="dxa"/>
            <w:gridSpan w:val="2"/>
            <w:tcBorders/>
            <w:vAlign w:val="center"/>
          </w:tcPr>
          <w:p>
            <w:pPr>
              <w:pStyle w:val="TableContents"/>
              <w:bidi w:val="0"/>
              <w:spacing w:before="0" w:after="283"/>
              <w:jc w:val="both"/>
              <w:rPr/>
            </w:pPr>
            <w:r>
              <w:rPr/>
              <w:t> </w:t>
            </w:r>
          </w:p>
        </w:tc>
      </w:tr>
      <w:tr>
        <w:trPr/>
        <w:tc>
          <w:tcPr>
            <w:tcW w:w="4852" w:type="dxa"/>
            <w:tcBorders/>
            <w:vAlign w:val="center"/>
          </w:tcPr>
          <w:p>
            <w:pPr>
              <w:pStyle w:val="TableContents"/>
              <w:bidi w:val="0"/>
              <w:spacing w:before="0" w:after="283"/>
              <w:jc w:val="both"/>
              <w:rPr/>
            </w:pPr>
            <w:r>
              <w:rPr/>
              <w:t> </w:t>
            </w:r>
          </w:p>
        </w:tc>
        <w:tc>
          <w:tcPr>
            <w:tcW w:w="1451" w:type="dxa"/>
            <w:tcBorders/>
            <w:vAlign w:val="center"/>
          </w:tcPr>
          <w:p>
            <w:pPr>
              <w:pStyle w:val="TableContents"/>
              <w:bidi w:val="0"/>
              <w:spacing w:before="0" w:after="283"/>
              <w:jc w:val="both"/>
              <w:rPr/>
            </w:pPr>
            <w:r>
              <w:rPr/>
              <w:t>Kate Hodson</w:t>
            </w:r>
          </w:p>
        </w:tc>
        <w:tc>
          <w:tcPr>
            <w:tcW w:w="1541" w:type="dxa"/>
            <w:tcBorders/>
            <w:vAlign w:val="center"/>
          </w:tcPr>
          <w:p>
            <w:pPr>
              <w:pStyle w:val="TableContents"/>
              <w:bidi w:val="0"/>
              <w:spacing w:before="0" w:after="283"/>
              <w:jc w:val="both"/>
              <w:rPr/>
            </w:pPr>
            <w:r>
              <w:rPr/>
              <w:t>Rachel Huang**</w:t>
            </w:r>
          </w:p>
        </w:tc>
        <w:tc>
          <w:tcPr>
            <w:tcW w:w="2361" w:type="dxa"/>
            <w:gridSpan w:val="2"/>
            <w:tcBorders/>
            <w:vAlign w:val="center"/>
          </w:tcPr>
          <w:p>
            <w:pPr>
              <w:pStyle w:val="TableContents"/>
              <w:bidi w:val="0"/>
              <w:spacing w:before="0" w:after="283"/>
              <w:jc w:val="both"/>
              <w:rPr/>
            </w:pPr>
            <w:r>
              <w:rPr/>
              <w:t> </w:t>
            </w:r>
          </w:p>
        </w:tc>
      </w:tr>
      <w:tr>
        <w:trPr/>
        <w:tc>
          <w:tcPr>
            <w:tcW w:w="4852" w:type="dxa"/>
            <w:tcBorders/>
            <w:vAlign w:val="center"/>
          </w:tcPr>
          <w:p>
            <w:pPr>
              <w:pStyle w:val="TableContents"/>
              <w:bidi w:val="0"/>
              <w:spacing w:before="0" w:after="283"/>
              <w:jc w:val="both"/>
              <w:rPr/>
            </w:pPr>
            <w:r>
              <w:rPr/>
              <w:t>T +852 3656 6000</w:t>
            </w:r>
          </w:p>
        </w:tc>
        <w:tc>
          <w:tcPr>
            <w:tcW w:w="1451" w:type="dxa"/>
            <w:tcBorders/>
            <w:vAlign w:val="center"/>
          </w:tcPr>
          <w:p>
            <w:pPr>
              <w:pStyle w:val="TableContents"/>
              <w:bidi w:val="0"/>
              <w:spacing w:before="0" w:after="283"/>
              <w:jc w:val="both"/>
              <w:rPr/>
            </w:pPr>
            <w:r>
              <w:rPr/>
              <w:t>David Nelson</w:t>
            </w:r>
          </w:p>
        </w:tc>
        <w:tc>
          <w:tcPr>
            <w:tcW w:w="1541" w:type="dxa"/>
            <w:tcBorders/>
            <w:vAlign w:val="center"/>
          </w:tcPr>
          <w:p>
            <w:pPr>
              <w:pStyle w:val="TableContents"/>
              <w:bidi w:val="0"/>
              <w:spacing w:before="0" w:after="283"/>
              <w:jc w:val="both"/>
              <w:rPr/>
            </w:pPr>
            <w:r>
              <w:rPr/>
              <w:t>Florence Chan*</w:t>
            </w:r>
            <w:r>
              <w:rPr>
                <w:position w:val="8"/>
                <w:sz w:val="19"/>
              </w:rPr>
              <w:t>‡</w:t>
            </w:r>
          </w:p>
        </w:tc>
        <w:tc>
          <w:tcPr>
            <w:tcW w:w="2361" w:type="dxa"/>
            <w:gridSpan w:val="2"/>
            <w:tcBorders/>
            <w:vAlign w:val="center"/>
          </w:tcPr>
          <w:p>
            <w:pPr>
              <w:pStyle w:val="TableContents"/>
              <w:bidi w:val="0"/>
              <w:spacing w:before="0" w:after="283"/>
              <w:jc w:val="both"/>
              <w:rPr/>
            </w:pPr>
            <w:r>
              <w:rPr/>
              <w:t> </w:t>
            </w:r>
          </w:p>
        </w:tc>
      </w:tr>
      <w:tr>
        <w:trPr/>
        <w:tc>
          <w:tcPr>
            <w:tcW w:w="4852" w:type="dxa"/>
            <w:tcBorders/>
            <w:vAlign w:val="center"/>
          </w:tcPr>
          <w:p>
            <w:pPr>
              <w:pStyle w:val="TableContents"/>
              <w:bidi w:val="0"/>
              <w:spacing w:before="0" w:after="283"/>
              <w:jc w:val="both"/>
              <w:rPr/>
            </w:pPr>
            <w:r>
              <w:rPr/>
              <w:t>F +852 3656 6001</w:t>
            </w:r>
          </w:p>
        </w:tc>
        <w:tc>
          <w:tcPr>
            <w:tcW w:w="1451" w:type="dxa"/>
            <w:tcBorders/>
            <w:vAlign w:val="center"/>
          </w:tcPr>
          <w:p>
            <w:pPr>
              <w:pStyle w:val="TableContents"/>
              <w:bidi w:val="0"/>
              <w:spacing w:before="0" w:after="283"/>
              <w:jc w:val="both"/>
              <w:rPr/>
            </w:pPr>
            <w:r>
              <w:rPr/>
              <w:t>Joanne Collett</w:t>
            </w:r>
          </w:p>
        </w:tc>
        <w:tc>
          <w:tcPr>
            <w:tcW w:w="1541" w:type="dxa"/>
            <w:tcBorders/>
            <w:vAlign w:val="center"/>
          </w:tcPr>
          <w:p>
            <w:pPr>
              <w:pStyle w:val="TableContents"/>
              <w:bidi w:val="0"/>
              <w:spacing w:before="0" w:after="283"/>
              <w:jc w:val="both"/>
              <w:rPr/>
            </w:pPr>
            <w:r>
              <w:rPr/>
              <w:t>Richard Bennett**</w:t>
            </w:r>
            <w:r>
              <w:rPr>
                <w:position w:val="8"/>
                <w:sz w:val="19"/>
              </w:rPr>
              <w:t>‡</w:t>
            </w:r>
          </w:p>
        </w:tc>
        <w:tc>
          <w:tcPr>
            <w:tcW w:w="210" w:type="dxa"/>
            <w:tcBorders/>
            <w:vAlign w:val="center"/>
          </w:tcPr>
          <w:p>
            <w:pPr>
              <w:pStyle w:val="TableContents"/>
              <w:bidi w:val="0"/>
              <w:spacing w:before="0" w:after="283"/>
              <w:jc w:val="both"/>
              <w:rPr/>
            </w:pPr>
            <w:r>
              <w:rPr/>
              <w:t>*</w:t>
            </w:r>
          </w:p>
        </w:tc>
        <w:tc>
          <w:tcPr>
            <w:tcW w:w="2151" w:type="dxa"/>
            <w:tcBorders/>
            <w:vAlign w:val="center"/>
          </w:tcPr>
          <w:p>
            <w:pPr>
              <w:pStyle w:val="TableContents"/>
              <w:bidi w:val="0"/>
              <w:spacing w:before="0" w:after="283"/>
              <w:jc w:val="both"/>
              <w:rPr/>
            </w:pPr>
            <w:r>
              <w:rPr/>
              <w:t>admitted in New Zealand</w:t>
            </w:r>
          </w:p>
        </w:tc>
      </w:tr>
      <w:tr>
        <w:trPr/>
        <w:tc>
          <w:tcPr>
            <w:tcW w:w="4852" w:type="dxa"/>
            <w:tcBorders/>
            <w:vAlign w:val="center"/>
          </w:tcPr>
          <w:p>
            <w:pPr>
              <w:pStyle w:val="TableContents"/>
              <w:bidi w:val="0"/>
              <w:spacing w:before="0" w:after="283"/>
              <w:jc w:val="both"/>
              <w:rPr/>
            </w:pPr>
            <w:r>
              <w:rPr/>
              <w:t>ogier.com</w:t>
            </w:r>
          </w:p>
        </w:tc>
        <w:tc>
          <w:tcPr>
            <w:tcW w:w="1451" w:type="dxa"/>
            <w:tcBorders/>
            <w:vAlign w:val="center"/>
          </w:tcPr>
          <w:p>
            <w:pPr>
              <w:pStyle w:val="TableContents"/>
              <w:bidi w:val="0"/>
              <w:spacing w:before="0" w:after="283"/>
              <w:jc w:val="both"/>
              <w:rPr/>
            </w:pPr>
            <w:r>
              <w:rPr/>
              <w:t>Dennis Li</w:t>
            </w:r>
          </w:p>
        </w:tc>
        <w:tc>
          <w:tcPr>
            <w:tcW w:w="1541" w:type="dxa"/>
            <w:tcBorders/>
            <w:vAlign w:val="center"/>
          </w:tcPr>
          <w:p>
            <w:pPr>
              <w:pStyle w:val="TableContents"/>
              <w:bidi w:val="0"/>
              <w:spacing w:before="0" w:after="283"/>
              <w:jc w:val="both"/>
              <w:rPr/>
            </w:pPr>
            <w:r>
              <w:rPr/>
              <w:t>James Bergstrom</w:t>
            </w:r>
            <w:r>
              <w:rPr>
                <w:position w:val="8"/>
                <w:sz w:val="19"/>
              </w:rPr>
              <w:t>‡</w:t>
            </w:r>
          </w:p>
        </w:tc>
        <w:tc>
          <w:tcPr>
            <w:tcW w:w="210" w:type="dxa"/>
            <w:tcBorders/>
            <w:vAlign w:val="center"/>
          </w:tcPr>
          <w:p>
            <w:pPr>
              <w:pStyle w:val="TableContents"/>
              <w:bidi w:val="0"/>
              <w:spacing w:before="0" w:after="283"/>
              <w:jc w:val="both"/>
              <w:rPr/>
            </w:pPr>
            <w:r>
              <w:rPr/>
              <w:t>**</w:t>
            </w:r>
          </w:p>
        </w:tc>
        <w:tc>
          <w:tcPr>
            <w:tcW w:w="2151" w:type="dxa"/>
            <w:tcBorders/>
            <w:vAlign w:val="center"/>
          </w:tcPr>
          <w:p>
            <w:pPr>
              <w:pStyle w:val="TableContents"/>
              <w:bidi w:val="0"/>
              <w:spacing w:before="0" w:after="283"/>
              <w:jc w:val="both"/>
              <w:rPr/>
            </w:pPr>
            <w:r>
              <w:rPr/>
              <w:t>admitted in England and Wales</w:t>
            </w:r>
          </w:p>
        </w:tc>
      </w:tr>
      <w:tr>
        <w:trPr/>
        <w:tc>
          <w:tcPr>
            <w:tcW w:w="4852" w:type="dxa"/>
            <w:tcBorders/>
            <w:vAlign w:val="center"/>
          </w:tcPr>
          <w:p>
            <w:pPr>
              <w:pStyle w:val="TableContents"/>
              <w:bidi w:val="0"/>
              <w:spacing w:before="0" w:after="283"/>
              <w:jc w:val="both"/>
              <w:rPr/>
            </w:pPr>
            <w:r>
              <w:rPr/>
              <w:t> </w:t>
            </w:r>
          </w:p>
        </w:tc>
        <w:tc>
          <w:tcPr>
            <w:tcW w:w="1451" w:type="dxa"/>
            <w:tcBorders/>
            <w:vAlign w:val="center"/>
          </w:tcPr>
          <w:p>
            <w:pPr>
              <w:pStyle w:val="TableContents"/>
              <w:bidi w:val="0"/>
              <w:spacing w:before="0" w:after="283"/>
              <w:jc w:val="both"/>
              <w:rPr/>
            </w:pPr>
            <w:r>
              <w:rPr/>
              <w:t>Cecilia Li</w:t>
            </w:r>
          </w:p>
        </w:tc>
        <w:tc>
          <w:tcPr>
            <w:tcW w:w="1541" w:type="dxa"/>
            <w:tcBorders/>
            <w:vAlign w:val="center"/>
          </w:tcPr>
          <w:p>
            <w:pPr>
              <w:pStyle w:val="TableContents"/>
              <w:bidi w:val="0"/>
              <w:spacing w:before="0" w:after="283"/>
              <w:jc w:val="both"/>
              <w:rPr/>
            </w:pPr>
            <w:r>
              <w:rPr/>
              <w:t> </w:t>
            </w:r>
          </w:p>
        </w:tc>
        <w:tc>
          <w:tcPr>
            <w:tcW w:w="210" w:type="dxa"/>
            <w:tcBorders/>
            <w:vAlign w:val="center"/>
          </w:tcPr>
          <w:p>
            <w:pPr>
              <w:pStyle w:val="TableContents"/>
              <w:bidi w:val="0"/>
              <w:spacing w:before="0" w:after="283"/>
              <w:jc w:val="both"/>
              <w:rPr/>
            </w:pPr>
            <w:r>
              <w:rPr>
                <w:position w:val="8"/>
                <w:sz w:val="19"/>
              </w:rPr>
              <w:t>‡</w:t>
            </w:r>
            <w:r>
              <w:rPr/>
              <w:t xml:space="preserve">  </w:t>
            </w:r>
          </w:p>
        </w:tc>
        <w:tc>
          <w:tcPr>
            <w:tcW w:w="2151" w:type="dxa"/>
            <w:tcBorders/>
            <w:vAlign w:val="center"/>
          </w:tcPr>
          <w:p>
            <w:pPr>
              <w:pStyle w:val="TableContents"/>
              <w:bidi w:val="0"/>
              <w:spacing w:before="0" w:after="283"/>
              <w:jc w:val="both"/>
              <w:rPr>
                <w:sz w:val="20"/>
              </w:rPr>
            </w:pPr>
            <w:r>
              <w:rPr>
                <w:sz w:val="20"/>
              </w:rPr>
              <w:t>not ordinarily resident in Hong Kong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(d)</w:t>
            </w:r>
          </w:p>
        </w:tc>
        <w:tc>
          <w:tcPr>
            <w:tcW w:w="9883" w:type="dxa"/>
            <w:tcBorders/>
            <w:vAlign w:val="center"/>
          </w:tcPr>
          <w:p>
            <w:pPr>
              <w:pStyle w:val="TableContents"/>
              <w:bidi w:val="0"/>
              <w:spacing w:before="0" w:after="283"/>
              <w:jc w:val="both"/>
              <w:rPr/>
            </w:pPr>
            <w:r>
              <w:rPr/>
              <w:t xml:space="preserve">the register of directors and officers of the Company filed with the Registrar on 17 August 2026 (the </w:t>
            </w:r>
            <w:r>
              <w:rPr>
                <w:b/>
              </w:rPr>
              <w:t>Register</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(e)</w:t>
            </w:r>
          </w:p>
        </w:tc>
        <w:tc>
          <w:tcPr>
            <w:tcW w:w="9912" w:type="dxa"/>
            <w:tcBorders/>
            <w:vAlign w:val="center"/>
          </w:tcPr>
          <w:p>
            <w:pPr>
              <w:pStyle w:val="TableContents"/>
              <w:bidi w:val="0"/>
              <w:spacing w:before="0" w:after="283"/>
              <w:jc w:val="both"/>
              <w:rPr/>
            </w:pPr>
            <w:r>
              <w:rPr/>
              <w:t xml:space="preserve">a certificate from a director of the Company dated the same date of this opinion as to certain matters of facts (the </w:t>
            </w:r>
            <w:r>
              <w:rPr>
                <w:b/>
              </w:rPr>
              <w:t>Director’s Certificate</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(f)</w:t>
            </w:r>
          </w:p>
        </w:tc>
        <w:tc>
          <w:tcPr>
            <w:tcW w:w="9945" w:type="dxa"/>
            <w:tcBorders/>
            <w:vAlign w:val="center"/>
          </w:tcPr>
          <w:p>
            <w:pPr>
              <w:pStyle w:val="TableContents"/>
              <w:bidi w:val="0"/>
              <w:spacing w:before="0" w:after="283"/>
              <w:jc w:val="both"/>
              <w:rPr/>
            </w:pPr>
            <w:r>
              <w:rPr/>
              <w:t xml:space="preserve">the Register of Writs at the office of the Clerk of Courts in the Cayman Islands as inspected by us on 11 September 2026 (the </w:t>
            </w:r>
            <w:r>
              <w:rPr>
                <w:b/>
              </w:rPr>
              <w:t>Register of Writs</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(g)</w:t>
            </w:r>
          </w:p>
        </w:tc>
        <w:tc>
          <w:tcPr>
            <w:tcW w:w="9904" w:type="dxa"/>
            <w:tcBorders/>
            <w:vAlign w:val="center"/>
          </w:tcPr>
          <w:p>
            <w:pPr>
              <w:pStyle w:val="TableContents"/>
              <w:bidi w:val="0"/>
              <w:spacing w:before="0" w:after="283"/>
              <w:jc w:val="both"/>
              <w:rPr/>
            </w:pPr>
            <w:r>
              <w:rPr/>
              <w:t xml:space="preserve">a search on the Cayman Online Registry Information Service conducted against the Company at the Registrar on 11 September 2026 (the </w:t>
            </w:r>
            <w:r>
              <w:rPr>
                <w:b/>
              </w:rPr>
              <w:t>CORIS Search</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(h)</w:t>
            </w:r>
          </w:p>
        </w:tc>
        <w:tc>
          <w:tcPr>
            <w:tcW w:w="9921" w:type="dxa"/>
            <w:tcBorders/>
            <w:vAlign w:val="center"/>
          </w:tcPr>
          <w:p>
            <w:pPr>
              <w:pStyle w:val="TableContents"/>
              <w:bidi w:val="0"/>
              <w:spacing w:before="0" w:after="283"/>
              <w:jc w:val="both"/>
              <w:rPr/>
            </w:pPr>
            <w:r>
              <w:rPr/>
              <w:t xml:space="preserve">the written resolutions of the board of directors of the Company passed on 9 September 2026 approving, among other things, the Company’s filing of the Registration Statement and the adoption of the Plan (the </w:t>
            </w:r>
            <w:r>
              <w:rPr>
                <w:b/>
              </w:rPr>
              <w:t>Board Resolutions</w:t>
            </w:r>
            <w:r>
              <w:rPr/>
              <w:t>);</w:t>
            </w:r>
          </w:p>
        </w:tc>
      </w:tr>
    </w:tbl>
    <w:p>
      <w:pPr>
        <w:pStyle w:val="TextBody"/>
        <w:bidi w:val="0"/>
        <w:spacing w:before="0" w:after="0"/>
        <w:jc w:val="left"/>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23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1265" w:type="dxa"/>
            <w:tcBorders/>
            <w:vAlign w:val="center"/>
          </w:tcPr>
          <w:p>
            <w:pPr>
              <w:pStyle w:val="TableContents"/>
              <w:bidi w:val="0"/>
              <w:spacing w:before="0" w:after="283"/>
              <w:jc w:val="both"/>
              <w:rPr/>
            </w:pPr>
            <w:r>
              <w:rPr/>
              <w:t>the Plan; and</w:t>
            </w:r>
          </w:p>
        </w:tc>
      </w:tr>
    </w:tbl>
    <w:p>
      <w:pPr>
        <w:pStyle w:val="TextBody"/>
        <w:bidi w:val="0"/>
        <w:spacing w:before="0" w:after="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(j)</w:t>
            </w:r>
          </w:p>
        </w:tc>
        <w:tc>
          <w:tcPr>
            <w:tcW w:w="2570" w:type="dxa"/>
            <w:tcBorders/>
            <w:vAlign w:val="center"/>
          </w:tcPr>
          <w:p>
            <w:pPr>
              <w:pStyle w:val="TableContents"/>
              <w:bidi w:val="0"/>
              <w:spacing w:before="0" w:after="283"/>
              <w:jc w:val="both"/>
              <w:rPr/>
            </w:pPr>
            <w:r>
              <w:rPr/>
              <w:t>the Registration Statement.</w:t>
            </w:r>
          </w:p>
        </w:tc>
      </w:tr>
    </w:tbl>
    <w:p>
      <w:pPr>
        <w:pStyle w:val="TextBody"/>
        <w:bidi w:val="0"/>
        <w:spacing w:before="0" w:after="0"/>
        <w:jc w:val="left"/>
        <w:rPr>
          <w:caps w:val="false"/>
          <w:smallCaps w:val="false"/>
        </w:rPr>
      </w:pPr>
      <w:r>
        <w:rPr>
          <w:caps w:val="false"/>
          <w:smallCaps w:val="false"/>
        </w:rPr>
        <w:t> </w:t>
      </w:r>
    </w:p>
    <w:tbl>
      <w:tblPr>
        <w:tblW w:w="1443" w:type="dxa"/>
        <w:jc w:val="left"/>
        <w:tblInd w:w="0" w:type="dxa"/>
        <w:tblLayout w:type="fixed"/>
        <w:tblCellMar>
          <w:top w:w="0" w:type="dxa"/>
          <w:left w:w="0" w:type="dxa"/>
          <w:bottom w:w="0" w:type="dxa"/>
          <w:right w:w="0" w:type="dxa"/>
        </w:tblCellMar>
      </w:tblPr>
      <w:tblGrid>
        <w:gridCol w:w="38"/>
        <w:gridCol w:w="14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265" w:type="dxa"/>
            <w:tcBorders/>
            <w:vAlign w:val="center"/>
          </w:tcPr>
          <w:p>
            <w:pPr>
              <w:pStyle w:val="TableContents"/>
              <w:bidi w:val="0"/>
              <w:spacing w:before="0" w:after="283"/>
              <w:jc w:val="both"/>
              <w:rPr/>
            </w:pPr>
            <w:r>
              <w:rPr/>
              <w:t>Assumptions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this paragraph 2 without having carried out any independent investigation or verification in respect of those assumptions:</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283"/>
              <w:jc w:val="both"/>
              <w:rPr/>
            </w:pPr>
            <w:r>
              <w:rPr/>
              <w:t>all copies of documents examined by us (whether in facsimile, electronic or other form) conform to the originals and those originals are authentic and complete;</w:t>
            </w:r>
          </w:p>
        </w:tc>
      </w:tr>
    </w:tbl>
    <w:p>
      <w:pPr>
        <w:pStyle w:val="TextBody"/>
        <w:bidi w:val="0"/>
        <w:spacing w:before="0" w:after="0"/>
        <w:jc w:val="left"/>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29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665" w:type="dxa"/>
            <w:tcBorders/>
            <w:vAlign w:val="center"/>
          </w:tcPr>
          <w:p>
            <w:pPr>
              <w:pStyle w:val="TableContents"/>
              <w:bidi w:val="0"/>
              <w:spacing w:before="0" w:after="283"/>
              <w:jc w:val="both"/>
              <w:rPr/>
            </w:pPr>
            <w:r>
              <w:rPr/>
              <w:t>all signatures, seals, dates, stamps and markings (whether on original or copy documents) are genuine;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(c)</w:t>
            </w:r>
          </w:p>
        </w:tc>
        <w:tc>
          <w:tcPr>
            <w:tcW w:w="9911" w:type="dxa"/>
            <w:tcBorders/>
            <w:vAlign w:val="center"/>
          </w:tcPr>
          <w:p>
            <w:pPr>
              <w:pStyle w:val="TableContents"/>
              <w:bidi w:val="0"/>
              <w:spacing w:before="0" w:after="283"/>
              <w:jc w:val="both"/>
              <w:rPr/>
            </w:pPr>
            <w:r>
              <w:rPr/>
              <w:t>each of the Good Standing Certificate, the Register and the Director’s Certificate is accurate and complete as at the date of this opinion;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(d)</w:t>
            </w:r>
          </w:p>
        </w:tc>
        <w:tc>
          <w:tcPr>
            <w:tcW w:w="9913" w:type="dxa"/>
            <w:tcBorders/>
            <w:vAlign w:val="center"/>
          </w:tcPr>
          <w:p>
            <w:pPr>
              <w:pStyle w:val="TableContents"/>
              <w:bidi w:val="0"/>
              <w:spacing w:before="0" w:after="283"/>
              <w:jc w:val="both"/>
              <w:rPr/>
            </w:pPr>
            <w:r>
              <w:rPr/>
              <w:t>the CORIS Search which we have examined is accurate and that the information disclosed by the CORIS Search is true and complete and that such information has not since been altered;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(e)</w:t>
            </w:r>
          </w:p>
        </w:tc>
        <w:tc>
          <w:tcPr>
            <w:tcW w:w="9929" w:type="dxa"/>
            <w:tcBorders/>
            <w:vAlign w:val="center"/>
          </w:tcPr>
          <w:p>
            <w:pPr>
              <w:pStyle w:val="TableContents"/>
              <w:bidi w:val="0"/>
              <w:spacing w:before="0" w:after="283"/>
              <w:jc w:val="both"/>
              <w:rPr/>
            </w:pPr>
            <w:r>
              <w:rPr/>
              <w:t>the Plan has been authorised and duly executed and unconditionally delivered by or on behalf of the Company in accordance with all relevant laws (other than the laws of the Cayman Islands);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(f)</w:t>
            </w:r>
          </w:p>
        </w:tc>
        <w:tc>
          <w:tcPr>
            <w:tcW w:w="9964" w:type="dxa"/>
            <w:tcBorders/>
            <w:vAlign w:val="center"/>
          </w:tcPr>
          <w:p>
            <w:pPr>
              <w:pStyle w:val="TableContents"/>
              <w:bidi w:val="0"/>
              <w:spacing w:before="0" w:after="283"/>
              <w:jc w:val="both"/>
              <w:rPr/>
            </w:pPr>
            <w:r>
              <w:rPr/>
              <w:t>each Award Agreement (as defined in the Plan) will be authorised, duly executed and unconditionally delivered by or on behalf of the Company in accordance with all relevant laws upon the issuance of the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(g)</w:t>
            </w:r>
          </w:p>
        </w:tc>
        <w:tc>
          <w:tcPr>
            <w:tcW w:w="9916" w:type="dxa"/>
            <w:tcBorders/>
            <w:vAlign w:val="center"/>
          </w:tcPr>
          <w:p>
            <w:pPr>
              <w:pStyle w:val="TableContents"/>
              <w:bidi w:val="0"/>
              <w:spacing w:before="0" w:after="283"/>
              <w:jc w:val="both"/>
              <w:rPr/>
            </w:pPr>
            <w:r>
              <w:rPr/>
              <w:t>the Plan is legal, valid and binding and enforceable against all relevant parties in accordance with its terms under relevant law (other than, with respect to the Company, the laws of the Cayman Islands);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(h)</w:t>
            </w:r>
          </w:p>
        </w:tc>
        <w:tc>
          <w:tcPr>
            <w:tcW w:w="9901" w:type="dxa"/>
            <w:tcBorders/>
            <w:vAlign w:val="center"/>
          </w:tcPr>
          <w:p>
            <w:pPr>
              <w:pStyle w:val="TableContents"/>
              <w:bidi w:val="0"/>
              <w:spacing w:before="0" w:after="283"/>
              <w:jc w:val="both"/>
              <w:rPr/>
            </w:pPr>
            <w:r>
              <w:rPr/>
              <w:t>each Award Agreement will be legal, valid and binding and enforceable against all relevant parties in accordance with its terms under relevant law;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(i)</w:t>
            </w:r>
          </w:p>
        </w:tc>
        <w:tc>
          <w:tcPr>
            <w:tcW w:w="9981" w:type="dxa"/>
            <w:tcBorders/>
            <w:vAlign w:val="center"/>
          </w:tcPr>
          <w:p>
            <w:pPr>
              <w:pStyle w:val="TableContents"/>
              <w:bidi w:val="0"/>
              <w:spacing w:before="0" w:after="283"/>
              <w:jc w:val="both"/>
              <w:rPr/>
            </w:pPr>
            <w:r>
              <w:rPr/>
              <w:t>the Company has the capacity, power, authority and legal right under all relevant laws and regulations (other than the laws of the Cayman Islands) to enter into, execute, unconditionally deliver and perform its obligations under the Plan;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(j)</w:t>
            </w:r>
          </w:p>
        </w:tc>
        <w:tc>
          <w:tcPr>
            <w:tcW w:w="9981" w:type="dxa"/>
            <w:tcBorders/>
            <w:vAlign w:val="center"/>
          </w:tcPr>
          <w:p>
            <w:pPr>
              <w:pStyle w:val="TableContents"/>
              <w:bidi w:val="0"/>
              <w:spacing w:before="0" w:after="283"/>
              <w:jc w:val="both"/>
              <w:rPr/>
            </w:pPr>
            <w:r>
              <w:rPr/>
              <w:t>no monies paid to or for the account of any party under the Plan represent or will represent criminal property or terrorist property (as defined in the Proceeds of Crime Act (as revised) and the Terrorism Act (as revised),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(k)</w:t>
            </w:r>
          </w:p>
        </w:tc>
        <w:tc>
          <w:tcPr>
            <w:tcW w:w="9918" w:type="dxa"/>
            <w:tcBorders/>
            <w:vAlign w:val="center"/>
          </w:tcPr>
          <w:p>
            <w:pPr>
              <w:pStyle w:val="TableContents"/>
              <w:bidi w:val="0"/>
              <w:spacing w:before="0" w:after="283"/>
              <w:jc w:val="both"/>
              <w:rPr/>
            </w:pPr>
            <w:r>
              <w:rPr/>
              <w:t xml:space="preserve">the Company has received, or will receive, money or money’s worth (the </w:t>
            </w:r>
            <w:r>
              <w:rPr>
                <w:b/>
              </w:rPr>
              <w:t>Consideration</w:t>
            </w:r>
            <w:r>
              <w:rPr/>
              <w:t>) in consideration for the issue of the Shares, and none of the Shares have, or will be, issued for less than their par value;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(l)</w:t>
            </w:r>
          </w:p>
        </w:tc>
        <w:tc>
          <w:tcPr>
            <w:tcW w:w="9946" w:type="dxa"/>
            <w:tcBorders/>
            <w:vAlign w:val="center"/>
          </w:tcPr>
          <w:p>
            <w:pPr>
              <w:pStyle w:val="TableContents"/>
              <w:bidi w:val="0"/>
              <w:spacing w:before="0" w:after="283"/>
              <w:jc w:val="both"/>
              <w:rPr/>
            </w:pPr>
            <w:r>
              <w:rPr/>
              <w:t>the issue of any Shares pursuant to the Plan will not result in the Company exceeding its authorised share capital;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1"/>
        <w:gridCol w:w="9846"/>
      </w:tblGrid>
      <w:tr>
        <w:trPr/>
        <w:tc>
          <w:tcPr>
            <w:tcW w:w="3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(m)</w:t>
            </w:r>
          </w:p>
        </w:tc>
        <w:tc>
          <w:tcPr>
            <w:tcW w:w="9846" w:type="dxa"/>
            <w:tcBorders/>
            <w:vAlign w:val="center"/>
          </w:tcPr>
          <w:p>
            <w:pPr>
              <w:pStyle w:val="TableContents"/>
              <w:bidi w:val="0"/>
              <w:spacing w:before="0" w:after="283"/>
              <w:jc w:val="both"/>
              <w:rPr/>
            </w:pPr>
            <w:r>
              <w:rPr/>
              <w:t>there is no provision of the law of any jurisdiction, other than the Cayman Islands, which would have any implication in relation to the opinions expressed herein.</w:t>
            </w:r>
          </w:p>
        </w:tc>
      </w:tr>
    </w:tbl>
    <w:p>
      <w:pPr>
        <w:pStyle w:val="TextBody"/>
        <w:bidi w:val="0"/>
        <w:spacing w:before="0" w:after="0"/>
        <w:jc w:val="left"/>
        <w:rPr>
          <w:caps w:val="false"/>
          <w:smallCaps w:val="false"/>
        </w:rPr>
      </w:pPr>
      <w:r>
        <w:rPr>
          <w:caps w:val="false"/>
          <w:smallCaps w:val="false"/>
        </w:rPr>
        <w:t> </w:t>
      </w:r>
    </w:p>
    <w:tbl>
      <w:tblPr>
        <w:tblW w:w="1083" w:type="dxa"/>
        <w:jc w:val="left"/>
        <w:tblInd w:w="0" w:type="dxa"/>
        <w:tblLayout w:type="fixed"/>
        <w:tblCellMar>
          <w:top w:w="0" w:type="dxa"/>
          <w:left w:w="0" w:type="dxa"/>
          <w:bottom w:w="0" w:type="dxa"/>
          <w:right w:w="0" w:type="dxa"/>
        </w:tblCellMar>
      </w:tblPr>
      <w:tblGrid>
        <w:gridCol w:w="38"/>
        <w:gridCol w:w="140"/>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905" w:type="dxa"/>
            <w:tcBorders/>
            <w:vAlign w:val="center"/>
          </w:tcPr>
          <w:p>
            <w:pPr>
              <w:pStyle w:val="TableContents"/>
              <w:bidi w:val="0"/>
              <w:spacing w:before="0" w:after="283"/>
              <w:jc w:val="both"/>
              <w:rPr/>
            </w:pPr>
            <w:r>
              <w:rPr/>
              <w:t>Opinions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limitations and qualifications set forth in paragraph 4 below, we are of the opinion that: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1418"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 Issuance of Shares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the Shares to be offered and issued by the Company pursuant to the provisions of the Plan, have been duly authorised, and, when issued and allotted by the Company in accordance with the provisions of the Plan, the Memorandum and Articles, the Board Resolutions, and once the Consideration fixed in accordance with the provisions of the Plan is fully paid for, will be validly issued, and (assuming that all of the Consideration is received by the Company) fully paid and non-assessable. Once the register of members of the Company has been updated to reflect the issuance, the shareholders recorded in the register of members will be deemed to have legal title to the Shares set against their respective names.</w:t>
            </w:r>
          </w:p>
        </w:tc>
      </w:tr>
    </w:tbl>
    <w:p>
      <w:pPr>
        <w:pStyle w:val="TextBody"/>
        <w:bidi w:val="0"/>
        <w:spacing w:before="0" w:after="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14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2825" w:type="dxa"/>
            <w:tcBorders/>
            <w:vAlign w:val="center"/>
          </w:tcPr>
          <w:p>
            <w:pPr>
              <w:pStyle w:val="TableContents"/>
              <w:bidi w:val="0"/>
              <w:spacing w:before="0" w:after="283"/>
              <w:jc w:val="both"/>
              <w:rPr/>
            </w:pPr>
            <w:r>
              <w:rPr/>
              <w:t>Limitations and qualifications</w:t>
            </w:r>
          </w:p>
        </w:tc>
      </w:tr>
    </w:tbl>
    <w:p>
      <w:pPr>
        <w:pStyle w:val="TextBody"/>
        <w:bidi w:val="0"/>
        <w:spacing w:before="0" w:after="0"/>
        <w:jc w:val="left"/>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32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2015" w:type="dxa"/>
            <w:tcBorders/>
            <w:vAlign w:val="center"/>
          </w:tcPr>
          <w:p>
            <w:pPr>
              <w:pStyle w:val="TableContents"/>
              <w:bidi w:val="0"/>
              <w:spacing w:before="0" w:after="283"/>
              <w:jc w:val="both"/>
              <w:rPr/>
            </w:pPr>
            <w:r>
              <w:rPr/>
              <w:t>We offer no opinion: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except to the extent that this opinion expressly provides otherwise, as to the commercial terms of, or the validity, enforceability or effect of the Registration Statement, the accuracy of representations, the fulfilment of warranties or conditions, the occurrence of events of default or terminating events or the existence of any conflicts or inconsistencies among the Registration Statement and any other agreements into which the Company may have entered or any other documents.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4.2</w:t>
            </w:r>
          </w:p>
        </w:tc>
        <w:tc>
          <w:tcPr>
            <w:tcW w:w="9870" w:type="dxa"/>
            <w:tcBorders/>
            <w:vAlign w:val="center"/>
          </w:tcPr>
          <w:p>
            <w:pPr>
              <w:pStyle w:val="TableContents"/>
              <w:bidi w:val="0"/>
              <w:spacing w:before="0" w:after="283"/>
              <w:jc w:val="both"/>
              <w:rPr/>
            </w:pPr>
            <w:r>
              <w:rPr/>
              <w:t xml:space="preserve">Under the Companies Act (as revised) of the Cayman Islands (the </w:t>
            </w:r>
            <w:r>
              <w:rPr>
                <w:b/>
              </w:rPr>
              <w:t>Companies Act</w:t>
            </w:r>
            <w:r>
              <w:rPr/>
              <w:t xml:space="preserve">), the register of members of a Cayman Islands company is by statute regarded as </w:t>
            </w:r>
            <w:r>
              <w:rPr>
                <w:i/>
              </w:rPr>
              <w:t>prima facie</w:t>
            </w:r>
            <w:r>
              <w:rPr/>
              <w:t xml:space="preserv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tc>
      </w:tr>
    </w:tbl>
    <w:p>
      <w:pPr>
        <w:pStyle w:val="TextBody"/>
        <w:bidi w:val="0"/>
        <w:spacing w:before="0" w:after="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335"/>
        <w:gridCol w:w="8690"/>
      </w:tblGrid>
      <w:tr>
        <w:trPr/>
        <w:tc>
          <w:tcPr>
            <w:tcW w:w="335" w:type="dxa"/>
            <w:tcBorders/>
            <w:vAlign w:val="center"/>
          </w:tcPr>
          <w:p>
            <w:pPr>
              <w:pStyle w:val="TableContents"/>
              <w:bidi w:val="0"/>
              <w:spacing w:before="0" w:after="283"/>
              <w:jc w:val="left"/>
              <w:rPr/>
            </w:pPr>
            <w:r>
              <w:rPr/>
              <w:t>4.3</w:t>
            </w:r>
          </w:p>
        </w:tc>
        <w:tc>
          <w:tcPr>
            <w:tcW w:w="8690" w:type="dxa"/>
            <w:tcBorders/>
            <w:vAlign w:val="center"/>
          </w:tcPr>
          <w:p>
            <w:pPr>
              <w:pStyle w:val="TableContents"/>
              <w:bidi w:val="0"/>
              <w:spacing w:before="0" w:after="283"/>
              <w:jc w:val="both"/>
              <w:rPr/>
            </w:pPr>
            <w:r>
              <w:rPr/>
              <w:t>Our examination of the Register of Writs cannot conclusively reveal whether or not there is:</w:t>
            </w:r>
          </w:p>
        </w:tc>
      </w:tr>
    </w:tbl>
    <w:p>
      <w:pPr>
        <w:pStyle w:val="TextBody"/>
        <w:bidi w:val="0"/>
        <w:spacing w:before="0" w:after="0"/>
        <w:jc w:val="left"/>
        <w:rPr>
          <w:caps w:val="false"/>
          <w:smallCaps w:val="false"/>
        </w:rPr>
      </w:pPr>
      <w:r>
        <w:rPr>
          <w:caps w:val="false"/>
          <w:smallCaps w:val="false"/>
        </w:rPr>
        <w:t> </w:t>
      </w:r>
    </w:p>
    <w:tbl>
      <w:tblPr>
        <w:tblW w:w="7908" w:type="dxa"/>
        <w:jc w:val="left"/>
        <w:tblInd w:w="0" w:type="dxa"/>
        <w:tblLayout w:type="fixed"/>
        <w:tblCellMar>
          <w:top w:w="0" w:type="dxa"/>
          <w:left w:w="0" w:type="dxa"/>
          <w:bottom w:w="0" w:type="dxa"/>
          <w:right w:w="0" w:type="dxa"/>
        </w:tblCellMar>
      </w:tblPr>
      <w:tblGrid>
        <w:gridCol w:w="38"/>
        <w:gridCol w:w="275"/>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595" w:type="dxa"/>
            <w:tcBorders/>
            <w:vAlign w:val="center"/>
          </w:tcPr>
          <w:p>
            <w:pPr>
              <w:pStyle w:val="TableContents"/>
              <w:bidi w:val="0"/>
              <w:spacing w:before="0" w:after="283"/>
              <w:jc w:val="both"/>
              <w:rPr/>
            </w:pPr>
            <w:r>
              <w:rPr/>
              <w:t>any current or pending litigation in the Cayman Islands against the Company;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any application for the winding up or dissolution of the Company or the appointment of any liquidator, trustee in bankruptcy or restructuring officer in respect of the Company or any of its assets,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CI$20,000.</w:t>
      </w:r>
    </w:p>
    <w:p>
      <w:pPr>
        <w:pStyle w:val="TextBody"/>
        <w:bidi w:val="0"/>
        <w:spacing w:before="0" w:after="0"/>
        <w:ind w:left="709" w:right="0" w:hanging="0"/>
        <w:jc w:val="both"/>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14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2885" w:type="dxa"/>
            <w:tcBorders/>
            <w:vAlign w:val="center"/>
          </w:tcPr>
          <w:p>
            <w:pPr>
              <w:pStyle w:val="TableContents"/>
              <w:bidi w:val="0"/>
              <w:spacing w:before="0" w:after="283"/>
              <w:jc w:val="both"/>
              <w:rPr/>
            </w:pPr>
            <w:r>
              <w:rPr/>
              <w:t>Governing law of this opinion</w:t>
            </w:r>
          </w:p>
        </w:tc>
      </w:tr>
    </w:tbl>
    <w:p>
      <w:pPr>
        <w:pStyle w:val="TextBody"/>
        <w:bidi w:val="0"/>
        <w:spacing w:before="0" w:after="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335"/>
        <w:gridCol w:w="1505"/>
      </w:tblGrid>
      <w:tr>
        <w:trPr/>
        <w:tc>
          <w:tcPr>
            <w:tcW w:w="335" w:type="dxa"/>
            <w:tcBorders/>
            <w:vAlign w:val="center"/>
          </w:tcPr>
          <w:p>
            <w:pPr>
              <w:pStyle w:val="TableContents"/>
              <w:bidi w:val="0"/>
              <w:spacing w:before="0" w:after="283"/>
              <w:jc w:val="left"/>
              <w:rPr/>
            </w:pPr>
            <w:r>
              <w:rPr/>
              <w:t>5.1</w:t>
            </w:r>
          </w:p>
        </w:tc>
        <w:tc>
          <w:tcPr>
            <w:tcW w:w="1505" w:type="dxa"/>
            <w:tcBorders/>
            <w:vAlign w:val="center"/>
          </w:tcPr>
          <w:p>
            <w:pPr>
              <w:pStyle w:val="TableContents"/>
              <w:bidi w:val="0"/>
              <w:spacing w:before="0" w:after="283"/>
              <w:jc w:val="both"/>
              <w:rPr/>
            </w:pPr>
            <w:r>
              <w:rPr/>
              <w:t>This opinion is:</w:t>
            </w:r>
          </w:p>
        </w:tc>
      </w:tr>
    </w:tbl>
    <w:p>
      <w:pPr>
        <w:pStyle w:val="TextBody"/>
        <w:bidi w:val="0"/>
        <w:spacing w:before="0" w:after="0"/>
        <w:jc w:val="left"/>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275"/>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420" w:type="dxa"/>
            <w:tcBorders/>
            <w:vAlign w:val="center"/>
          </w:tcPr>
          <w:p>
            <w:pPr>
              <w:pStyle w:val="TableContents"/>
              <w:bidi w:val="0"/>
              <w:spacing w:before="0" w:after="283"/>
              <w:jc w:val="both"/>
              <w:rPr/>
            </w:pPr>
            <w:r>
              <w:rPr/>
              <w:t>governed by, and shall be construed in accordance with, the laws of the Cayman Islands;</w:t>
            </w:r>
          </w:p>
        </w:tc>
      </w:tr>
    </w:tbl>
    <w:p>
      <w:pPr>
        <w:pStyle w:val="TextBody"/>
        <w:bidi w:val="0"/>
        <w:spacing w:before="0" w:after="0"/>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9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4430" w:type="dxa"/>
            <w:tcBorders/>
            <w:vAlign w:val="center"/>
          </w:tcPr>
          <w:p>
            <w:pPr>
              <w:pStyle w:val="TableContents"/>
              <w:bidi w:val="0"/>
              <w:spacing w:before="0" w:after="283"/>
              <w:jc w:val="both"/>
              <w:rPr/>
            </w:pPr>
            <w:r>
              <w:rPr/>
              <w:t>limited to the matters expressly stated in it;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283"/>
              <w:jc w:val="both"/>
              <w:rPr/>
            </w:pPr>
            <w:r>
              <w:rPr/>
              <w:t>confined to, and given on the basis of, the laws and practice in the Cayman Islands at the date of this opinion.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5.2</w:t>
            </w:r>
          </w:p>
        </w:tc>
        <w:tc>
          <w:tcPr>
            <w:tcW w:w="9870" w:type="dxa"/>
            <w:tcBorders/>
            <w:vAlign w:val="center"/>
          </w:tcPr>
          <w:p>
            <w:pPr>
              <w:pStyle w:val="TableContents"/>
              <w:bidi w:val="0"/>
              <w:spacing w:before="0" w:after="283"/>
              <w:jc w:val="both"/>
              <w:rPr/>
            </w:pPr>
            <w:r>
              <w:rPr/>
              <w:t>Unless otherwise indicated, a reference to any specific Cayman Islands legislation is a reference to that legislation as amended to, and as in force at, the date of this opinion.</w:t>
            </w:r>
          </w:p>
        </w:tc>
      </w:tr>
    </w:tbl>
    <w:p>
      <w:pPr>
        <w:pStyle w:val="TextBody"/>
        <w:bidi w:val="0"/>
        <w:spacing w:before="0" w:after="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155"/>
        <w:gridCol w:w="860"/>
      </w:tblGrid>
      <w:tr>
        <w:trPr/>
        <w:tc>
          <w:tcPr>
            <w:tcW w:w="155" w:type="dxa"/>
            <w:tcBorders/>
            <w:vAlign w:val="center"/>
          </w:tcPr>
          <w:p>
            <w:pPr>
              <w:pStyle w:val="TableContents"/>
              <w:bidi w:val="0"/>
              <w:spacing w:before="0" w:after="283"/>
              <w:jc w:val="left"/>
              <w:rPr/>
            </w:pPr>
            <w:r>
              <w:rPr/>
              <w:t>6</w:t>
            </w:r>
          </w:p>
        </w:tc>
        <w:tc>
          <w:tcPr>
            <w:tcW w:w="860" w:type="dxa"/>
            <w:tcBorders/>
            <w:vAlign w:val="center"/>
          </w:tcPr>
          <w:p>
            <w:pPr>
              <w:pStyle w:val="TableContents"/>
              <w:bidi w:val="0"/>
              <w:spacing w:before="0" w:after="283"/>
              <w:jc w:val="both"/>
              <w:rPr/>
            </w:pPr>
            <w:r>
              <w:rPr/>
              <w:t>Reliance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giving such consent, we do not thereby admit that we come within the category of persons whose consent is required under Section 7 of the Act or the Rules and Regulations of the Commission thereunder.</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be used only in connection with the Plan while the Registration Statement is effective.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725"/>
        <w:gridCol w:w="75"/>
      </w:tblGrid>
      <w:tr>
        <w:trPr/>
        <w:tc>
          <w:tcPr>
            <w:tcW w:w="725" w:type="dxa"/>
            <w:tcBorders>
              <w:bottom w:val="single" w:sz="12" w:space="0" w:color="000000"/>
            </w:tcBorders>
            <w:vAlign w:val="center"/>
          </w:tcPr>
          <w:p>
            <w:pPr>
              <w:pStyle w:val="TableContents"/>
              <w:bidi w:val="0"/>
              <w:spacing w:before="0" w:after="283"/>
              <w:jc w:val="both"/>
              <w:rPr>
                <w:sz w:val="20"/>
              </w:rPr>
            </w:pPr>
            <w:r>
              <w:rPr>
                <w:sz w:val="20"/>
              </w:rPr>
              <w:t>/s/ Ogier</w:t>
            </w:r>
          </w:p>
        </w:tc>
        <w:tc>
          <w:tcPr>
            <w:tcW w:w="75" w:type="dxa"/>
            <w:tcBorders/>
            <w:tcMar>
              <w:bottom w:w="0" w:type="dxa"/>
            </w:tcMar>
            <w:vAlign w:val="center"/>
          </w:tcPr>
          <w:p>
            <w:pPr>
              <w:pStyle w:val="TableContents"/>
              <w:bidi w:val="0"/>
              <w:spacing w:before="0" w:after="283"/>
              <w:jc w:val="both"/>
              <w:rPr/>
            </w:pPr>
            <w:r>
              <w:rPr/>
              <w:t> </w:t>
            </w:r>
          </w:p>
        </w:tc>
      </w:tr>
      <w:tr>
        <w:trPr/>
        <w:tc>
          <w:tcPr>
            <w:tcW w:w="725" w:type="dxa"/>
            <w:tcBorders/>
            <w:tcMar>
              <w:bottom w:w="0" w:type="dxa"/>
            </w:tcMar>
            <w:vAlign w:val="center"/>
          </w:tcPr>
          <w:p>
            <w:pPr>
              <w:pStyle w:val="TableContents"/>
              <w:bidi w:val="0"/>
              <w:spacing w:before="0" w:after="283"/>
              <w:jc w:val="both"/>
              <w:rPr>
                <w:b/>
                <w:sz w:val="20"/>
              </w:rPr>
            </w:pPr>
            <w:r>
              <w:rPr>
                <w:b/>
                <w:sz w:val="20"/>
              </w:rPr>
              <w:t>Ogier</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ea030353801ex23-1.htm"/>
      <w:bookmarkStart w:id="6" w:name="ksea030353801ex231"/>
      <w:bookmarkEnd w:id="5"/>
      <w:bookmarkEnd w:id="6"/>
      <w:r>
        <w:rPr>
          <w:rFonts w:ascii="Times New Roman;Times;Serif" w:hAnsi="Times New Roman;Times;Serif"/>
          <w:b/>
          <w:i w:val="false"/>
          <w:caps w:val="false"/>
          <w:smallCaps w:val="false"/>
          <w:sz w:val="20"/>
        </w:rPr>
        <w:t>Exhibit 23.1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S-8 of Intercont (Cayman) Limited (the “Company”) of our report dated October 30, 2025, with respect to our audits of the Company’s combined and consolidated financial statements as of June 30, 2025 and 2024 and for each of the years in the three-year period ended June 30, 2025, which is included in the Company's Annual Report on Form 20-F filed on October 30, 2025. Our opinion includes emphasis of matters paragraphs relating to going concern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such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ind w:left="1440" w:right="0" w:hanging="0"/>
        <w:jc w:val="right"/>
        <w:rPr>
          <w:rFonts w:ascii="Times New Roman;Times;Serif" w:hAnsi="Times New Roman;Times;Serif"/>
          <w:b/>
          <w:i w:val="false"/>
          <w:caps w:val="false"/>
          <w:smallCaps w:val="false"/>
          <w:sz w:val="20"/>
        </w:rPr>
      </w:pPr>
      <w:bookmarkStart w:id="7" w:name="ea030353801ex99-1.htm"/>
      <w:bookmarkStart w:id="8" w:name="ksea030353801ex991"/>
      <w:bookmarkEnd w:id="7"/>
      <w:bookmarkEnd w:id="8"/>
      <w:r>
        <w:rPr>
          <w:rFonts w:ascii="Times New Roman;Times;Serif" w:hAnsi="Times New Roman;Times;Serif"/>
          <w:b/>
          <w:i w:val="false"/>
          <w:caps w:val="false"/>
          <w:smallCaps w:val="false"/>
          <w:sz w:val="20"/>
        </w:rPr>
        <w:t>Exhibit 99.1</w:t>
      </w:r>
      <w:r>
        <w:br w:type="page"/>
      </w:r>
    </w:p>
    <w:p>
      <w:pPr>
        <w:pStyle w:val="TextBody"/>
        <w:bidi w:val="0"/>
        <w:spacing w:before="0" w:after="0"/>
        <w:ind w:left="144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 (Cayman)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Stock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Purposes of this Plan</w:t>
      </w:r>
      <w:r>
        <w:rPr>
          <w:rFonts w:ascii="Times New Roman;Times;Serif" w:hAnsi="Times New Roman;Times;Serif"/>
          <w:b w:val="false"/>
          <w:i w:val="false"/>
          <w:caps w:val="false"/>
          <w:smallCaps w:val="false"/>
          <w:sz w:val="20"/>
        </w:rPr>
        <w:t>. The purposes of this Plan are to attract and retain the best available personnel, to provide incentives to Employees, Directors and Consultants and to promote the success of the Company’s and the Related Entities’ business. For the avoidance of doubt, this Plan does not intend to provide incentive to and shall not be applicable to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 The following definitions shall apply as used herein and in the individual Award Agreements except as defined otherwise in an individual Award Agreement. In the event a term is separately defined in an individual Award Agreement, such definition shall supersede the definition contained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Administrator</w:t>
      </w:r>
      <w:r>
        <w:rPr>
          <w:rFonts w:ascii="Times New Roman;Times;Serif" w:hAnsi="Times New Roman;Times;Serif"/>
          <w:b w:val="false"/>
          <w:i w:val="false"/>
          <w:caps w:val="false"/>
          <w:smallCaps w:val="false"/>
          <w:sz w:val="20"/>
        </w:rPr>
        <w:t>” means the Board or one or more committees appointed by the Board or another committee (within its delegated authority) to administer all or certain aspects of this Plan. Any such committee shall be comprised solely of one or more directors or such number of directors as may be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Applicable Laws</w:t>
      </w:r>
      <w:r>
        <w:rPr>
          <w:rFonts w:ascii="Times New Roman;Times;Serif" w:hAnsi="Times New Roman;Times;Serif"/>
          <w:b w:val="false"/>
          <w:i w:val="false"/>
          <w:caps w:val="false"/>
          <w:smallCaps w:val="false"/>
          <w:sz w:val="20"/>
        </w:rPr>
        <w:t>” means the legal requirements relating to this Plan and the Awards under applicable laws, regulations, rules, federal securities laws, state corporate and securities laws, the rules of any applicable stock exchange or national market system, and the laws, regulations, orders or rules of any jurisdiction applicable to the Awards granted to residents therein or the Grantees receiving such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Assumed</w:t>
      </w:r>
      <w:r>
        <w:rPr>
          <w:rFonts w:ascii="Times New Roman;Times;Serif" w:hAnsi="Times New Roman;Times;Serif"/>
          <w:b w:val="false"/>
          <w:i w:val="false"/>
          <w:caps w:val="false"/>
          <w:smallCaps w:val="false"/>
          <w:sz w:val="20"/>
        </w:rPr>
        <w:t>”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means the grant of an Option, the direct issuance of Shares or any other right or benefit under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Award Agreement</w:t>
      </w:r>
      <w:r>
        <w:rPr>
          <w:rFonts w:ascii="Times New Roman;Times;Serif" w:hAnsi="Times New Roman;Times;Serif"/>
          <w:b w:val="false"/>
          <w:i w:val="false"/>
          <w:caps w:val="false"/>
          <w:smallCaps w:val="false"/>
          <w:sz w:val="20"/>
        </w:rPr>
        <w:t>” means the written agreement evidencing the grant of an Award executed by the Company and the Grantee, including any amendments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Termination Event</w:t>
      </w:r>
      <w:r>
        <w:rPr>
          <w:rFonts w:ascii="Times New Roman;Times;Serif" w:hAnsi="Times New Roman;Times;Serif"/>
          <w:b w:val="false"/>
          <w:i w:val="false"/>
          <w:caps w:val="false"/>
          <w:smallCaps w:val="false"/>
          <w:sz w:val="20"/>
        </w:rPr>
        <w:t>” means, the Grantee’s: (i) negligence in performing, or refusal to perform, any major duties to the Company or any Related Entity (as stated in the agreement between the Grantee and the Company or any Related Entity, or reasonably assigned by the Company or such Related Entity based on the Grantee’s position), or material violation of any code of conduct, rules, regulations, or policies of the Company or any Related Entity, (ii) performance of any act or failure to perform any act in bad faith and to the detriment of the Company or a Related Entity (economical or reputational), (iii) dishonesty or commitment in an act of theft, embezzlement, fraud, or a breach of trust, (iv) any intentional misconduct or material breach of any labor contract (employment agreement), non-disclosure obligation, non-competition obligation, non-solicitation obligation, code of conducts, employee handbook or other agreement between the Grantee and the Company or any Related Entity, (v) leakage of the Company’s trade secrets (including without limitation operational and technical information), (vi) breach of a fiduciary duty, or commission of a crime (other than minor traffic violations or similar offenses), (vii) material violation of any Applicable Laws or securities laws, (viii) any intentional act in a manner detrimental to the reputation, business operation, assets, or market image of the Company or any Related Entity, (ix) where the Grantee establishes employment relationship with a second employer while Continuous Service is not yet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Intercont (Cayman) Limited, an exempted company incorporated with limited liability under the laws of the Cayman Islands or any successor corporation that adopts this Plan in connection with a Corporate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 means any person (other than an Employee or a Director, solely with respect to rendering services in such person’s capacity as an Employee or Director) who is engaged by the Company or any Related Entity to render services to the Company or such Related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Continuous Service</w:t>
      </w:r>
      <w:r>
        <w:rPr>
          <w:rFonts w:ascii="Times New Roman;Times;Serif" w:hAnsi="Times New Roman;Times;Serif"/>
          <w:b w:val="false"/>
          <w:i w:val="false"/>
          <w:caps w:val="false"/>
          <w:smallCaps w:val="false"/>
          <w:sz w:val="20"/>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upon an actual termination of Continuous Service, if there has been a change in the entity for which the Grantee provides services, or upon the entity for which the Grantee provides services ceasing to be a Related Entity. Continuous Service shall not be considered interrupted in the case of (i) any approved leave of absence, (ii) transfers among the Company, any Subsidiary, or any successor, in any capacity of Employee, Director or Consultant, or (iii) any change in status as long as the individual remains in the service of the Company or a Subsidiary in any capacity of Employee, Director or Consultant (except as otherwise provided in the Award Agreement). An approved leave of absence shall include sick leave or any other authorized personal leave.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of a given Person means the power or authority, whether exercised or not, to direct the business, management and policies of such Person, directly or indirectly, whether through the ownership of voting securities, by contract or otherwise; provided, that such power or authority shall conclusively be presumed to exist upon possession of beneficial ownership or power to direct the vote of more than fifty percent (50%) of the votes entitled to be cast at a meeting of the members or shareholders of such Person or power to control the composition of a majority of the board of directors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Corporate Transaction</w:t>
      </w:r>
      <w:r>
        <w:rPr>
          <w:rFonts w:ascii="Times New Roman;Times;Serif" w:hAnsi="Times New Roman;Times;Serif"/>
          <w:b w:val="false"/>
          <w:i w:val="false"/>
          <w:caps w:val="false"/>
          <w:smallCaps w:val="false"/>
          <w:sz w:val="20"/>
        </w:rPr>
        <w:t>” means (as determined by the Administrator acting reasonably) any of the following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merger, amalgamation, consolidation or other business combination of the Company with or into any Person, in which the Company is not the surviving entity, or any other transaction or series of transactions, as a result of which the shareholders of the Company immediately prior to such transaction or series of transactions will cease to own a majority of the voting power of the surviving entity immediately after consummation of such transaction or series of transactions, except for a transaction the principal purpose of which is to change the state in which the Company is incorporated;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sale, transfer, exclusive license or other disposition of all or substantially all of the assets of the Company and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completion of liquidation or dissolution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reverse merger or series of related transactions culminating in a reverse merger (including, but not limited to, a tender offer followed by a reverse merger) in which the Company is the surviving entity but (A) the Shares outstanding immediately prior to such merger are converted or exchanged by virtue of the merger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merger or the initial transaction culminating in such merger, but excluding any such transaction or series of related transactions that the Administrator determines shall not be a Corporate Transaction; or</w:t>
      </w:r>
    </w:p>
    <w:p>
      <w:pPr>
        <w:pStyle w:val="TextBody"/>
        <w:bidi w:val="0"/>
        <w:spacing w:before="0" w:after="0"/>
        <w:ind w:left="720" w:right="0" w:hanging="0"/>
        <w:jc w:val="both"/>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75"/>
        <w:gridCol w:w="125"/>
        <w:gridCol w:w="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acquisition in a single or series of related transactions by any Person or related group of Persons (other than the Company or by a Company-sponsored employee benefit plan) of beneficial ownership of securities possessing more than fifty percent (50%) of the total combined voting power of the Company’s outstanding securities but excluding any such transaction or series of related transactions that the Administrator determines shall not be a Corporate Transaction.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means a member of the Board or the board of directors of any Related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means any person, including a Director, who is in the employment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 or the Related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Exercise Window</w:t>
      </w:r>
      <w:r>
        <w:rPr>
          <w:rFonts w:ascii="Times New Roman;Times;Serif" w:hAnsi="Times New Roman;Times;Serif"/>
          <w:b w:val="false"/>
          <w:i w:val="false"/>
          <w:caps w:val="false"/>
          <w:smallCaps w:val="false"/>
          <w:sz w:val="20"/>
        </w:rPr>
        <w:t>” means such period of time determined by the Administrator in its sole discretion during which an Award may be exercised, with reasonable advance notice to Grantees.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Grantee</w:t>
      </w:r>
      <w:r>
        <w:rPr>
          <w:rFonts w:ascii="Times New Roman;Times;Serif" w:hAnsi="Times New Roman;Times;Serif"/>
          <w:b w:val="false"/>
          <w:i w:val="false"/>
          <w:caps w:val="false"/>
          <w:smallCaps w:val="false"/>
          <w:sz w:val="20"/>
        </w:rPr>
        <w:t>” means an Employee, Director or Consultant who receives an Award under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M&amp;A</w:t>
      </w:r>
      <w:r>
        <w:rPr>
          <w:rFonts w:ascii="Times New Roman;Times;Serif" w:hAnsi="Times New Roman;Times;Serif"/>
          <w:b w:val="false"/>
          <w:i w:val="false"/>
          <w:caps w:val="false"/>
          <w:smallCaps w:val="false"/>
          <w:sz w:val="20"/>
        </w:rPr>
        <w:t>” means the memorandum and articles of association of the Company, as amended and restated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means an option to purchase Shares pursuant to an Award Agreement granted under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means any company (other than the Company) in an unbroken chain of companies ending with the Company, if each of the companies (other than the Company) owns or Controls shares possessing 50% or more of the total combined voting power of all classes of shares in one of the other companies in such chain. A company that attains the status of a Parent on a date after the adoption of this Plan shall be considered a Parent commencing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partnership, limited liability company, firm, joint venture, estate, trust, unincorporated organization, association, enterprise, institution, public benefit corporation, entity or governmental or regulatory authority or other entity of any kind or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this 2026 Stock Incentive Plan, as may be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Registration Date</w:t>
      </w:r>
      <w:r>
        <w:rPr>
          <w:rFonts w:ascii="Times New Roman;Times;Serif" w:hAnsi="Times New Roman;Times;Serif"/>
          <w:b w:val="false"/>
          <w:i w:val="false"/>
          <w:caps w:val="false"/>
          <w:smallCaps w:val="false"/>
          <w:sz w:val="20"/>
        </w:rPr>
        <w:t>” means the date of filing a registration statement on Form S-8 under the Securities Act of 1933, as amended, registering the securities issuable under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Related Entity</w:t>
      </w:r>
      <w:r>
        <w:rPr>
          <w:rFonts w:ascii="Times New Roman;Times;Serif" w:hAnsi="Times New Roman;Times;Serif"/>
          <w:b w:val="false"/>
          <w:i w:val="false"/>
          <w:caps w:val="false"/>
          <w:smallCaps w:val="false"/>
          <w:sz w:val="20"/>
        </w:rPr>
        <w:t>” means any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Replaced</w:t>
      </w:r>
      <w:r>
        <w:rPr>
          <w:rFonts w:ascii="Times New Roman;Times;Serif" w:hAnsi="Times New Roman;Times;Serif"/>
          <w:b w:val="false"/>
          <w:i w:val="false"/>
          <w:caps w:val="false"/>
          <w:smallCaps w:val="false"/>
          <w:sz w:val="20"/>
        </w:rPr>
        <w:t>” means that pursuant to a Corporate Transaction the Award is replaced with a comparable share or stock award or a cash incentive program of the Company, the successor entity (if applicable) or Parent of either of them which preserves the compensation element of such Award existing at the time of the Corporate Transaction and provides for subsequent payout in accordance with the same (or a more favorable) vesting schedule applicable to such Award. The determination of Award comparability shall be made by the Administrator and its determination shall be final, binding and conclusive.</w:t>
      </w:r>
    </w:p>
    <w:p>
      <w:pPr>
        <w:pStyle w:val="TextBody"/>
        <w:bidi w:val="0"/>
        <w:spacing w:before="0" w:after="0"/>
        <w:ind w:left="0" w:right="0" w:hanging="0"/>
        <w:jc w:val="both"/>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75"/>
        <w:gridCol w:w="125"/>
        <w:gridCol w:w="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means a Class A ordinary share of a par value of US$0.0025 each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Spin-off Transaction</w:t>
      </w:r>
      <w:r>
        <w:rPr>
          <w:rFonts w:ascii="Times New Roman;Times;Serif" w:hAnsi="Times New Roman;Times;Serif"/>
          <w:b w:val="false"/>
          <w:i w:val="false"/>
          <w:caps w:val="false"/>
          <w:smallCaps w:val="false"/>
          <w:sz w:val="20"/>
        </w:rPr>
        <w:t>” means a distribution by the Company to its shareholders of all or any portion of the securities of any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 specific entity, (i) any entity (x) more than fifty percent (50%) of whose shares or other interests entitled to vote in the election of directors or (y) more than a fifty percent (50%) interest in whose profits or capital, are owned or Controlled directly or indirectly by the subject entity or through one (1) or more Subsidiaries of the subject entity; (ii) any entity whose assets, or portions thereof, are consolidated with the net earnings of the subject entity and are recorded on the books of the subject entity for financial reporting purposes in accordance with U.S. GAAP; or (iii) any entity with respect to which the subject entity has the power to otherwise direct the business and policies of that entity directly or indirectly through another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Shares Subject to this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Shares to be issued pursuant to the Awards under this Plan shall be authorized, but unissued, or reacquired Shares. Subject to the provisions of Section 9 below, the maximum aggregate number of Shares that may be issued pursuant to all Awards is 5,087,548  Shares (proportionally adjusted to reflect any share dividends, share splits, share consolidation or similar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Shares covered by an Award (or portion of an Award) which is forfeited, canceled or expires (whether voluntarily or involuntarily) shall be deemed not to have been issued for purposes of determining the maximum aggregate number of Shares which may be issued under this Plan. Shares that actually have been issued under this Plan pursuant to an Award shall not be returned to this Plan and shall not become available for future issuance under this Plan, except that if unvested Shares are surrendered, forfeited, or repurchased by the Company, such Shares shall become available for future grant under this Plan. To the extent not prohibited by the Applicable Law and the listing requirements of the applicable stock exchange or national market system on which the Shares are traded, any Shares covered by an Award which are surrendered (i) in payment of the Award exercise or purchase price or (ii) in satisfaction of tax withholding obligations incident to the exercise of an Award shall be deemed not to have been issued for purposes of determining the maximum number of Shares which may be issued pursuant to all Awards under this Plan, unless otherwise determined by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Administration of this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Plan Administrator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Administration. This Plan shall be administered by the Administrator. The Administrator may authorize one or more officers or directors of the Company to grant such Awards and may limit such authority as the Administrator determines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Administration Errors. In the event an Award is granted in a manner inconsistent with the provisions of this subsection (a), such Award shall be presumptively valid as of its grant date to the extent permitted by the Applicable Laws and approved by the Administrator.</w:t>
      </w:r>
    </w:p>
    <w:p>
      <w:pPr>
        <w:pStyle w:val="TextBody"/>
        <w:bidi w:val="0"/>
        <w:spacing w:before="0" w:after="0"/>
        <w:ind w:left="720" w:right="0" w:hanging="0"/>
        <w:jc w:val="both"/>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75"/>
        <w:gridCol w:w="125"/>
        <w:gridCol w:w="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Powers of the Administrator. Subject to Applicable Laws and the provisions of this Plan (including any other powers given to the Administrator hereunder), the Administrator shall have the authority, in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select the Employees, Directors and Consultants to whom Awards may be granted from time to time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determine whether and to what extent Awards are granted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determine the type or the number of Awards to be granted, the number of Shares or the amount of consideration to be covered by each Award granted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approve forms of Award Agreements for use under this Plan, to amend terms of the Award Agreements;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determine or alter the terms and conditions of any Award granted hereunder (including without limitation the vesting schedule and exercise price set forth in the relevant notice of award or Award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amend the terms of any outstanding Award granted under this Plan, provided that any amendment that would adversely affect the Grantee’s rights under an outstanding Award in material aspects shall not be made without the Grantee’s written consent;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construe and interpret the terms of this Plan and Awards, including without limitation, any notice of award or Award Agreement, granted pursuant to this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require the Grantee to provide representation or evidence that any currency used to pay the exercise price of any Award was legally acquired and taken out of the jurisdiction in which the Grantee resides in accordance with the Applicable Laws;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determine whether and at what price to repurchase from the Grantee all or any portion of the Shares obtained by the Grantee upon exercise of any Awards;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take such other action, not inconsistent with the terms of this Plan and the Applicable Laws, as the Administrator deems appropriate.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Indemnification. In addition to such other rights of indemnification as they may have as members of the Board or Employees of the Company or a Related Entity, members of the Board and any Employees of the Company or a Related Entity to whom authority to act for the Board, the Administrator or the Company is delegated shall be defended and indemnified by the Company to the extent permitted by Applicable Law and in the manner approved by the Administrator, on an after-tax basis, against all reasonable expenses, including attorneys ’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this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pStyle w:val="TextBody"/>
        <w:bidi w:val="0"/>
        <w:spacing w:before="0" w:after="0"/>
        <w:ind w:left="0" w:right="0" w:hanging="0"/>
        <w:jc w:val="both"/>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75"/>
        <w:gridCol w:w="125"/>
        <w:gridCol w:w="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Eligibility</w:t>
      </w:r>
      <w:r>
        <w:rPr>
          <w:rFonts w:ascii="Times New Roman;Times;Serif" w:hAnsi="Times New Roman;Times;Serif"/>
          <w:b w:val="false"/>
          <w:i w:val="false"/>
          <w:caps w:val="false"/>
          <w:smallCaps w:val="false"/>
          <w:sz w:val="20"/>
        </w:rPr>
        <w:t>. Awards may be granted to Employees, Directors and Consultants. An Employee, Director or Consultant who has been granted an Award may, if otherwise eligible, be granted additional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Terms and Conditions of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Types of Awards</w:t>
      </w:r>
      <w:r>
        <w:rPr>
          <w:rFonts w:ascii="Times New Roman;Times;Serif" w:hAnsi="Times New Roman;Times;Serif"/>
          <w:b w:val="false"/>
          <w:i w:val="false"/>
          <w:caps w:val="false"/>
          <w:smallCaps w:val="false"/>
          <w:sz w:val="20"/>
        </w:rPr>
        <w:t>. The Administrator is authorized under this Plan to award any type of arrangement to an Employee, Director or Consultant that is not inconsistent with the provisions of this Plan and that by its terms involves or might involve (i) the issuance of an Option or any other similar right with a fixed or variable price of the Shares and with an exercise or conversion privilege related to the passage of time, the occurrence of one or more events, or the satisfaction of performance criteria or other conditions; or (ii) the issuance of Shares directly, either through immediate purchase of such Shares or as a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Designation of Award</w:t>
      </w:r>
      <w:r>
        <w:rPr>
          <w:rFonts w:ascii="Times New Roman;Times;Serif" w:hAnsi="Times New Roman;Times;Serif"/>
          <w:b w:val="false"/>
          <w:i w:val="false"/>
          <w:caps w:val="false"/>
          <w:smallCaps w:val="false"/>
          <w:sz w:val="20"/>
        </w:rPr>
        <w:t>. Each Award shall be designated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Conditions of Award</w:t>
      </w:r>
      <w:r>
        <w:rPr>
          <w:rFonts w:ascii="Times New Roman;Times;Serif" w:hAnsi="Times New Roman;Times;Serif"/>
          <w:b w:val="false"/>
          <w:i w:val="false"/>
          <w:caps w:val="false"/>
          <w:smallCaps w:val="false"/>
          <w:sz w:val="20"/>
        </w:rPr>
        <w:t>. Subject to the terms of this Plan, the Administrator shall determine the provisions, terms, and conditions of each Award including, but not limited to, the Award vesting schedule, forfeiture provisions, form of payment (cash, Shares, or other consideration) upon settlement of the Award, payment contingencies, and satisfaction of any performance criteria. Each Award shall be subject to the terms of an Award Agreement approved by the Administrator. The performance criteria may be applicable to the Company, Related Entities and/or any individual business units of the Company or any Related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Acquisitions and Other Transactions</w:t>
      </w:r>
      <w:r>
        <w:rPr>
          <w:rFonts w:ascii="Times New Roman;Times;Serif" w:hAnsi="Times New Roman;Times;Serif"/>
          <w:b w:val="false"/>
          <w:i w:val="false"/>
          <w:caps w:val="false"/>
          <w:smallCaps w:val="false"/>
          <w:sz w:val="20"/>
        </w:rPr>
        <w:t>. The Administrator may issue Awards under this Plan in settlement, assumption or substitution for, outstanding awards or obligations to grant future awards in connection with the Company or a Related Entity acquiring another entity, an interest in another entity or an additional interest in a Related Entity whether by merger, share purchase, asset purchase or other form of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Separate Programs</w:t>
      </w:r>
      <w:r>
        <w:rPr>
          <w:rFonts w:ascii="Times New Roman;Times;Serif" w:hAnsi="Times New Roman;Times;Serif"/>
          <w:b w:val="false"/>
          <w:i w:val="false"/>
          <w:caps w:val="false"/>
          <w:smallCaps w:val="false"/>
          <w:sz w:val="20"/>
        </w:rPr>
        <w:t>. The Administrator may establish one or more separate programs under this Plan for the purpose of issuing particular forms of Awards to one or more classes of Grantees on such terms and conditions as determined by the Administrator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Term of Award</w:t>
      </w:r>
      <w:r>
        <w:rPr>
          <w:rFonts w:ascii="Times New Roman;Times;Serif" w:hAnsi="Times New Roman;Times;Serif"/>
          <w:b w:val="false"/>
          <w:i w:val="false"/>
          <w:caps w:val="false"/>
          <w:smallCaps w:val="false"/>
          <w:sz w:val="20"/>
        </w:rPr>
        <w:t>. The term of each Award shall be the term stated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Non-transferability of Award</w:t>
      </w:r>
      <w:r>
        <w:rPr>
          <w:rFonts w:ascii="Times New Roman;Times;Serif" w:hAnsi="Times New Roman;Times;Serif"/>
          <w:b w:val="false"/>
          <w:i w:val="false"/>
          <w:caps w:val="false"/>
          <w:smallCaps w:val="false"/>
          <w:sz w:val="20"/>
        </w:rPr>
        <w:t>. The Grantee shall not transfer, sell, hypothecate, encumber or otherwise dispose of any shares, any Award, or any right or interest under this Plan without complying with the provisions of the M&amp;A and other documents of the Company in relation to the Shares,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Time of Granting Awards</w:t>
      </w:r>
      <w:r>
        <w:rPr>
          <w:rFonts w:ascii="Times New Roman;Times;Serif" w:hAnsi="Times New Roman;Times;Serif"/>
          <w:b w:val="false"/>
          <w:i w:val="false"/>
          <w:caps w:val="false"/>
          <w:smallCaps w:val="false"/>
          <w:sz w:val="20"/>
        </w:rPr>
        <w:t>. The date of grant of an Award shall for all purposes be the date on which the Administrator makes the determination to grant such Award, or such other date as is determined by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Award Exercise or Purchase Price, Consideration and Taxes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or Purchase Price</w:t>
      </w:r>
      <w:r>
        <w:rPr>
          <w:rFonts w:ascii="Times New Roman;Times;Serif" w:hAnsi="Times New Roman;Times;Serif"/>
          <w:b w:val="false"/>
          <w:i w:val="false"/>
          <w:caps w:val="false"/>
          <w:smallCaps w:val="false"/>
          <w:sz w:val="20"/>
        </w:rPr>
        <w:t>. The exercise or purchase price, if any, for an Award shall be determined by the Administrator. 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 Notwithstanding anything to the contrary herein, Shares shall not be issued unless the Company will receive consideration at least equal to the aggregate par value of such Shares.</w:t>
      </w:r>
    </w:p>
    <w:p>
      <w:pPr>
        <w:pStyle w:val="TextBody"/>
        <w:bidi w:val="0"/>
        <w:spacing w:before="0" w:after="0"/>
        <w:ind w:left="0" w:right="0" w:hanging="0"/>
        <w:jc w:val="both"/>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75"/>
        <w:gridCol w:w="125"/>
        <w:gridCol w:w="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Consideration</w:t>
      </w:r>
      <w:r>
        <w:rPr>
          <w:rFonts w:ascii="Times New Roman;Times;Serif" w:hAnsi="Times New Roman;Times;Serif"/>
          <w:b w:val="false"/>
          <w:i w:val="false"/>
          <w:caps w:val="false"/>
          <w:smallCaps w:val="false"/>
          <w:sz w:val="20"/>
        </w:rPr>
        <w:t>. Subject to Applicable Laws, the consideration to be paid for the Shares to be issued pursuant to an Award including the method of payment, shall be determined by the Administrator. In addition to any other types of consideration the Administrator may determine, the Administrator is authorized to accept as consideration for Shares issued pursuant to an Award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cash;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check;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exercise or purchase occurs on or after the Registration Date, or as otherwise permitted by the Administrator, surrender of Shares or delivery of a properly executed form of attestation of ownership of Shares as the Administrator may require which have a value on the date of surrender or attestation equal to the aggregate exercise price of the Shares as to which said Award shall be exercised;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 respect to Options, if the exercise occurs on or after the Registration Date, 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combination of the foregoing methods of payment.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may at any time or from time to time, by adoption of or by amendment to the standard forms of Award Agreement described in Section 4(b)(iv), or by other means, grant Awards which do not permit all of the foregoing forms of consideration to be used in payment for the Shares or which otherwise restrict one or more forms of consideration.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No Shares shall be delivered under this Plan to any Grantee or other Person until such Grantee or other Person has made arrangements acceptable to the Administrator for the satisfaction of any income and employment tax withholding obligations under any Applicable Laws. The Grantee shall be responsible for all taxes associated with the receipt, vest, exercise, transfer and disposal of the Awards and the Shares. Upon exercise of an Award, the Company and/or the Related Entity which is an employer of the Grantee shall have the right to withhold or collect from Grantee an amount sufficient to satisfy such tax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Exercise of Award</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Procedure for Exercise; Rights as a Shareholder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Award granted hereunder shall be exercisable at such times and under such conditions as determined by the Administrator under the terms of this Plan and specified in the Award Agreement. Any Award granted hereunder that has been vested may be exercised only during an Exercise Window.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Award shall be deemed to be exercised when written notice of such exercise has been given to the Company, during an Exercise Window, in accordance with the terms of the Award by the Person entitled to exercise the Award and full payment for the Shares with respect to which the Award is exercised, including, to the extent selected, use of the broker-dealer sale and remittance procedure to pay the purchase price as provided in Section 7(b)(iv).</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Exercise in Violation of Applicable Law</w:t>
      </w:r>
      <w:r>
        <w:rPr>
          <w:rFonts w:ascii="Times New Roman;Times;Serif" w:hAnsi="Times New Roman;Times;Serif"/>
          <w:b w:val="false"/>
          <w:i w:val="false"/>
          <w:caps w:val="false"/>
          <w:smallCaps w:val="false"/>
          <w:sz w:val="20"/>
        </w:rPr>
        <w:t>. Notwithstanding the foregoing, regardless of whether an Award has otherwise become exercisable, the Award shall not be exercised if the Administrator (in its sole discretion) determines that an exercise would violate any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Restrictions on Exercise</w:t>
      </w:r>
      <w:r>
        <w:rPr>
          <w:rFonts w:ascii="Times New Roman;Times;Serif" w:hAnsi="Times New Roman;Times;Serif"/>
          <w:b w:val="false"/>
          <w:i w:val="false"/>
          <w:caps w:val="false"/>
          <w:smallCaps w:val="false"/>
          <w:sz w:val="20"/>
        </w:rPr>
        <w:t>. Notwithstanding the foregoing, regardless of whether an Award has become vested and exercisable, no Award may be exercised until after the Registration Date (subject to any further blackout/silence period as required by law).</w:t>
      </w:r>
    </w:p>
    <w:p>
      <w:pPr>
        <w:pStyle w:val="TextBody"/>
        <w:bidi w:val="0"/>
        <w:spacing w:before="0" w:after="0"/>
        <w:ind w:left="0" w:right="0" w:hanging="0"/>
        <w:jc w:val="both"/>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75"/>
        <w:gridCol w:w="125"/>
        <w:gridCol w:w="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Conditions Upon Issuance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Shares shall not be issued pursuant to the exercise of an Award unless the exercise of such Award and the issuance and delivery of such Shares pursuant thereto shall comply with all Applicable Laws, the M&amp;A and the relevant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a condition to the exercise of an Award, the applicable Award Agreement may require the Grantee to grant a power of attorney to the Board or any Person designated by the Board to exercise the voting rights with respect to the Shares and the Company may require the Person exercising such Award to acknowledge and agree to be bound by the provisions of the then current M&amp;A and other documents of the Company in relation to the Shares, as if the Grantee is a holder of Shares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Upon termination of the Grantee’s Continuous Service for any reason, or upon occurrence of any Termination Event (without regard to whether Grantee’s Continuous Service terminates), all Awards, whether vested or unvested, will be terminated immediately without further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Adjustments Upon Changes in Capitalization</w:t>
      </w:r>
      <w:r>
        <w:rPr>
          <w:rFonts w:ascii="Times New Roman;Times;Serif" w:hAnsi="Times New Roman;Times;Serif"/>
          <w:b w:val="false"/>
          <w:i w:val="false"/>
          <w:caps w:val="false"/>
          <w:smallCaps w:val="false"/>
          <w:sz w:val="20"/>
        </w:rPr>
        <w:t>. Subject to any required action by the shareholders of the Company, the number of Shares covered by each outstanding Award, the number of Shares which have been authorized for issuance under this Plan but as to which no Awards have yet been granted or which have been returned to this Plan, the exercise or purchase price of each such outstanding Award, the maximum number of Shares with respect to which Awards may be granted to any Grantee in any fiscal year of the Company, as well as any other terms that the Administrator determines require adjustment shall be proportionately adjusted for (i) any increase or decrease in the number of issued Shares resulting from a share split, reverse share split, share dividend, combination or reclassification of the Shares, or similar transaction affecting the Shares, (ii) any other increase or decrease in the number of issued Shares effected without receipt of consideration by the Company, or (iii) as the Administrator may determine in its discretion, any other transaction with respect to Shares including a corporate merger, consolidation, acquisition of property or equity, separation (including a spin-off or other distribution of shares or property), reorganization, liquidation (whether partial or complete) or any similar transaction; provided, however that conversion of any convertible securities of the Company shall not be deemed to have been “effected without receipt of consideration.” Such adjustment shall be made by the Administrator, and its determination shall be final, binding and conclusive. Except as the Administrator determines, no issuance by the Company of shares of any class, or securities convertible into shares of any class, shall affect, and no adjustment by reason hereof shall be made with respect to, the number or price of Shares subject to an Award. In the event of a Spin-off Transaction, the Administrator may in its discretion make such adjustments and take such other action as it deems appropriate with respect to outstanding Awards under this Plan, including but not limited to: (i) adjustments to the number and kind of Shares, the exercise or purchase price per Share and the vesting periods of outstanding Awards, (ii) prohibit the exercise of Awards during certain periods of time prior to the consummation of the Spin-off Transaction, or (iii) the substitution, exchange or grant of Awards to purchase securities of the Subsidiary; provided that the Administrator shall not be obligated to make any such adjustments or take any such action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Corporate Transactions</w:t>
      </w:r>
      <w:r>
        <w:rPr>
          <w:rFonts w:ascii="Times New Roman;Times;Serif" w:hAnsi="Times New Roman;Times;Serif"/>
          <w:b w:val="false"/>
          <w:i w:val="false"/>
          <w:caps w:val="false"/>
          <w:smallCaps w:val="false"/>
          <w:sz w:val="20"/>
        </w:rPr>
        <w:t>. In the event of a Corporate Transaction, each Award can be, as determined by the Administrator, Assumed or Replaced (or without taking any action) immediately prior to the specified effective date of such Corporate Transaction. All outstanding Awards under this Plan shall terminate upon the consummation of such Corporate Transaction, provided however that, all such Awards shall not terminate to the extent they are Assumed or Replaced in connection with the Corporate Transaction.</w:t>
      </w:r>
    </w:p>
    <w:p>
      <w:pPr>
        <w:pStyle w:val="TextBody"/>
        <w:bidi w:val="0"/>
        <w:spacing w:before="0" w:after="0"/>
        <w:ind w:left="0" w:right="0" w:hanging="0"/>
        <w:jc w:val="both"/>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75"/>
        <w:gridCol w:w="125"/>
        <w:gridCol w:w="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Effective Date and Term of Plan</w:t>
      </w:r>
      <w:r>
        <w:rPr>
          <w:rFonts w:ascii="Times New Roman;Times;Serif" w:hAnsi="Times New Roman;Times;Serif"/>
          <w:b w:val="false"/>
          <w:i w:val="false"/>
          <w:caps w:val="false"/>
          <w:smallCaps w:val="false"/>
          <w:sz w:val="20"/>
        </w:rPr>
        <w:t>. This Plan shall become effective upon its adoption by the Board or as otherwise specified by the Board when adopting this Plan. This Plan shall continue in effect for a term of ten (10) years after the date of adoption, unless sooner terminated. Subject to Applicable Laws, Awards may be granted under this Plan upon its becoming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Amendment, Suspension or Termination of this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may at any time amend (including extend the term of this Plan), suspend or terminate this Plan; provided, however, that no such amendment, suspension or termination shall be made without the approval of the Company’s shareholders to the extent such approval is required by the M&amp;A, the Applicable Laws or as otherwise determined by the Board at the time of adoption of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Award may be granted during any suspension of this Plan or after termination of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otherwise determined by the Administrator in good faith, the suspension, amendment or termination of this Plan (including termination of this Plan under Section 12, above) shall not materially adversely affect any rights under Awards already granted to a Grantee.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Reservation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during the term of this Plan, will at all times reserve and keep available such number of Shares as shall be sufficient to satisfy the requirements of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No Effect on Terms of Employment/Consulting Relationship</w:t>
      </w:r>
      <w:r>
        <w:rPr>
          <w:rFonts w:ascii="Times New Roman;Times;Serif" w:hAnsi="Times New Roman;Times;Serif"/>
          <w:b w:val="false"/>
          <w:i w:val="false"/>
          <w:caps w:val="false"/>
          <w:smallCaps w:val="false"/>
          <w:sz w:val="20"/>
        </w:rPr>
        <w:t>. This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and with or without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No Effect on Retirement and Other Benefit Plans</w:t>
      </w:r>
      <w:r>
        <w:rPr>
          <w:rFonts w:ascii="Times New Roman;Times;Serif" w:hAnsi="Times New Roman;Times;Serif"/>
          <w:b w:val="false"/>
          <w:i w:val="false"/>
          <w:caps w:val="false"/>
          <w:smallCaps w:val="false"/>
          <w:sz w:val="20"/>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This Plan is not a “Retirement Plan” or “Welfare Plan” under the Employee Retirement Income Security Act of 1974,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Vesting Schedule</w:t>
      </w:r>
      <w:r>
        <w:rPr>
          <w:rFonts w:ascii="Times New Roman;Times;Serif" w:hAnsi="Times New Roman;Times;Serif"/>
          <w:b w:val="false"/>
          <w:i w:val="false"/>
          <w:caps w:val="false"/>
          <w:smallCaps w:val="false"/>
          <w:sz w:val="20"/>
        </w:rPr>
        <w:t>. The Awards to be issued to any Grantee at such time prior to the Registration Date shall be subject to the vesting schedule as specified in the Award Agreement of such Grantee. The Administrator shall have the right to adjust the vesting schedule of the Awards granted to the Grantees.</w:t>
      </w:r>
    </w:p>
    <w:p>
      <w:pPr>
        <w:pStyle w:val="TextBody"/>
        <w:bidi w:val="0"/>
        <w:spacing w:before="0" w:after="0"/>
        <w:ind w:left="0" w:right="0" w:hanging="0"/>
        <w:jc w:val="both"/>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75"/>
        <w:gridCol w:w="125"/>
        <w:gridCol w:w="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Holding Company, Trustee, etc</w:t>
      </w:r>
      <w:r>
        <w:rPr>
          <w:rFonts w:ascii="Times New Roman;Times;Serif" w:hAnsi="Times New Roman;Times;Serif"/>
          <w:b w:val="false"/>
          <w:i w:val="false"/>
          <w:caps w:val="false"/>
          <w:smallCaps w:val="false"/>
          <w:sz w:val="20"/>
        </w:rPr>
        <w:t>. Notwithstanding anything to the contrary in this Plan, any Award Agreement, any notice of award or the terms on which any Award is granted or vested, any underlying Share of the Awards may, at the Administrator’s own discretion, be held by one or more holding companies or trustees or other nominees (collectively, the “Trustees”) as designated by the Administrator for the Grantees, and this Plan may be implemented and administrated by the Administrator through the Trustees.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Unfunded Obligation</w:t>
      </w:r>
      <w:r>
        <w:rPr>
          <w:rFonts w:ascii="Times New Roman;Times;Serif" w:hAnsi="Times New Roman;Times;Serif"/>
          <w:b w:val="false"/>
          <w:i w:val="false"/>
          <w:caps w:val="false"/>
          <w:smallCaps w:val="false"/>
          <w:sz w:val="20"/>
        </w:rPr>
        <w:t>. Any amounts payable to Grantees pursuant to this Plan shall be unfunded and unsecured obligations for all purposes.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Non-exclusivity of this Plan</w:t>
      </w:r>
      <w:r>
        <w:rPr>
          <w:rFonts w:ascii="Times New Roman;Times;Serif" w:hAnsi="Times New Roman;Times;Serif"/>
          <w:b w:val="false"/>
          <w:i w:val="false"/>
          <w:caps w:val="false"/>
          <w:smallCaps w:val="false"/>
          <w:sz w:val="20"/>
        </w:rPr>
        <w:t>. Neither the adoption of this Plan by the Board nor the submission of this Plan to the shareholders of the Company for approval shall be construed as creating any limitations on the power of the Board to adopt such other incentive arrangements as it may deem desirable, including, without limitation, the granting of stock options or other equity-based awards otherwise than under this Plan, and such arrangements may be either applicable generally or only in specific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Other Agreements</w:t>
      </w:r>
      <w:r>
        <w:rPr>
          <w:rFonts w:ascii="Times New Roman;Times;Serif" w:hAnsi="Times New Roman;Times;Serif"/>
          <w:b w:val="false"/>
          <w:i w:val="false"/>
          <w:caps w:val="false"/>
          <w:smallCaps w:val="false"/>
          <w:sz w:val="20"/>
        </w:rPr>
        <w:t>. Notwithstanding the above, the Administrator may require, as a condition, to the grant of and/or the receipt of Shares under an Award, that the Grantee execute lock-up, shareholder or other agreements, as it may determine in its sole and absolute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 Captions and titles contained herein are for convenience only and shall not affect the meaning or interpretation of any provision of this Plan. Except when otherwise indicated by the context, the singular shall include the plural and the plural shall include the singular. Use of the term “or” is not intended to be exclusive, unless the context clearly requires otherwise. Masculine pronouns and other words of masculine gender shall refer to both men and women.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Plan or any Award or Award Agreement is or becomes or is deemed to be invalid, illegal, or unenforceable in any jurisdiction, such provision shall be construed or deemed amended to conform to the applicable laws in the manner that most closely reflects the original intent of the Award or this Plan, or if it cannot be construed or deemed amended without, in the determination of the Committee, materially altering the intent of this Plan or the Award, such provision shall be construed or deemed stricken as to such jurisdiction and the remainder of this Plan and any such Award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Plan is to be construed in accordance with and governed by the laws of the Cayman Islands, without giving effect to any choice of law rule that would cause the application of the laws of any jurisdiction other than the laws of the Cayman Islands to the rights and duties of the parties.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75"/>
        <w:gridCol w:w="230"/>
        <w:gridCol w:w="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240"/>
        <w:ind w:left="0" w:right="0" w:hanging="0"/>
        <w:jc w:val="right"/>
        <w:rPr>
          <w:rFonts w:ascii="Times New Roman;Times;Serif" w:hAnsi="Times New Roman;Times;Serif"/>
          <w:b/>
          <w:i w:val="false"/>
          <w:caps w:val="false"/>
          <w:smallCaps w:val="false"/>
          <w:sz w:val="24"/>
        </w:rPr>
      </w:pPr>
      <w:bookmarkStart w:id="9" w:name="ea030353801ex-fee.htm"/>
      <w:bookmarkStart w:id="10" w:name="ksea030353801exfee"/>
      <w:bookmarkEnd w:id="9"/>
      <w:bookmarkEnd w:id="10"/>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INTERCONT (CAYMAN)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60"/>
        <w:gridCol w:w="60"/>
        <w:gridCol w:w="997"/>
        <w:gridCol w:w="60"/>
        <w:gridCol w:w="575"/>
        <w:gridCol w:w="60"/>
        <w:gridCol w:w="1133"/>
        <w:gridCol w:w="60"/>
        <w:gridCol w:w="1093"/>
        <w:gridCol w:w="60"/>
        <w:gridCol w:w="194"/>
        <w:gridCol w:w="948"/>
        <w:gridCol w:w="60"/>
        <w:gridCol w:w="156"/>
        <w:gridCol w:w="1429"/>
        <w:gridCol w:w="60"/>
        <w:gridCol w:w="1040"/>
        <w:gridCol w:w="60"/>
        <w:gridCol w:w="217"/>
        <w:gridCol w:w="1083"/>
      </w:tblGrid>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r>
      <w:tr>
        <w:trPr/>
        <w:tc>
          <w:tcPr>
            <w:tcW w:w="86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97"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33"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93"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85"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Class A Ordinary Shares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pPr>
            <w:r>
              <w:rPr/>
              <w:t>5,087,548</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0.3485</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1,773,010.48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right"/>
              <w:rPr/>
            </w:pPr>
            <w:r>
              <w:rPr/>
              <w:t>244.85</w:t>
            </w:r>
          </w:p>
        </w:tc>
      </w:tr>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c>
          <w:tcPr>
            <w:tcW w:w="108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00"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1,773,010.48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244.85</w:t>
            </w:r>
          </w:p>
        </w:tc>
      </w:tr>
      <w:tr>
        <w:trPr/>
        <w:tc>
          <w:tcPr>
            <w:tcW w:w="6100"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c>
          <w:tcPr>
            <w:tcW w:w="1083"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6100"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bottom w:val="double" w:sz="8" w:space="0" w:color="000000"/>
            </w:tcBorders>
            <w:tcMar>
              <w:bottom w:w="28" w:type="dxa"/>
            </w:tcMar>
            <w:vAlign w:val="center"/>
          </w:tcPr>
          <w:p>
            <w:pPr>
              <w:pStyle w:val="TableContents"/>
              <w:bidi w:val="0"/>
              <w:spacing w:before="0" w:after="283"/>
              <w:jc w:val="left"/>
              <w:rPr/>
            </w:pPr>
            <w:r>
              <w:rPr/>
              <w:t>$</w:t>
            </w:r>
          </w:p>
        </w:tc>
        <w:tc>
          <w:tcPr>
            <w:tcW w:w="1083" w:type="dxa"/>
            <w:tcBorders>
              <w:bottom w:val="double" w:sz="8" w:space="0" w:color="000000"/>
            </w:tcBorders>
            <w:tcMar>
              <w:bottom w:w="28" w:type="dxa"/>
            </w:tcMar>
            <w:vAlign w:val="center"/>
          </w:tcPr>
          <w:p>
            <w:pPr>
              <w:pStyle w:val="TableContents"/>
              <w:bidi w:val="0"/>
              <w:spacing w:before="0" w:after="283"/>
              <w:jc w:val="right"/>
              <w:rPr/>
            </w:pPr>
            <w:r>
              <w:rPr/>
              <w:t>244.85</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5"/>
        <w:gridCol w:w="23"/>
        <w:gridCol w:w="9937"/>
      </w:tblGrid>
      <w:tr>
        <w:trPr/>
        <w:tc>
          <w:tcPr>
            <w:tcW w:w="245"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both"/>
              <w:rPr/>
            </w:pPr>
            <w:r>
              <w:rPr/>
              <w:t>This registration statement covers the Class A Ordinary Shares issuable pursuant to the Registrant 2026 Stock Incentive Plan.</w:t>
              <w:br/>
              <w:br/>
              <w:t>Estimated solely for the purpose of calculating the registration fee. Pursuant to Rules 457(c) and 457(h) under the Securities Act, the proposed maximum offering price per share and the proposed maximum aggregate offering price have been determined on the basis of the average of the high and low price of the Registrant’s Class A Ordinary Shares as of September 8, 2026, a specified date within five business days prior to the date of filing the registration statement.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2018529/000121390025104020/ea0261753-20f_inter.htm" TargetMode="External"/><Relationship Id="rId3" Type="http://schemas.openxmlformats.org/officeDocument/2006/relationships/hyperlink" Target="https://www.sec.gov/Archives/edgar/data/2018529/000101376225003059/ea0235903-8a12b_intercont.htm" TargetMode="External"/><Relationship Id="rId4" Type="http://schemas.openxmlformats.org/officeDocument/2006/relationships/hyperlink" Target="https://www.sec.gov/Archives/edgar/data/2018529/000121390026066072/ea029386201ex3-1.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10204</Words>
  <Characters>53511</Characters>
  <CharactersWithSpaces>63785</CharactersWithSpaces>
  <Paragraphs>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