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001-42571</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39 Ocean Drive Singapore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spacing w:after="0" w:line="262" w:lineRule="auto"/>
        <w:rPr>
          <w:sz w:val="20"/>
          <w:szCs w:val="20"/>
          <w:color w:val="auto"/>
        </w:rPr>
      </w:pPr>
      <w:r>
        <w:rPr>
          <w:rFonts w:ascii="Times New Roman" w:cs="Times New Roman" w:eastAsia="Times New Roman" w:hAnsi="Times New Roman"/>
          <w:sz w:val="18"/>
          <w:szCs w:val="18"/>
          <w:color w:val="auto"/>
        </w:rPr>
        <w:t>On June 5, 2026, at 9:00 a.m., Eastern Time (June 5, 2026 at 9 p.m. Beijing Time), Intercont (Cayman)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a meeting of the holders of class A ordinary shares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Class A Meeting</w:t>
      </w:r>
      <w:r>
        <w:rPr>
          <w:rFonts w:ascii="Times New Roman" w:cs="Times New Roman" w:eastAsia="Times New Roman" w:hAnsi="Times New Roman"/>
          <w:sz w:val="18"/>
          <w:szCs w:val="18"/>
          <w:color w:val="auto"/>
        </w:rPr>
        <w:t>”) at 12th Floor, Building 1, 16 Bailongjiang East Street, Jianye District, Nanjing City, Jiangsu Province, China. Immediately following the Class A Meeting, the Company held an extraordinary general meeting of the shareholders of the Company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b w:val="1"/>
          <w:bCs w:val="1"/>
          <w:color w:val="auto"/>
        </w:rPr>
        <w:t>Meetings</w:t>
      </w:r>
      <w:r>
        <w:rPr>
          <w:rFonts w:ascii="Times New Roman" w:cs="Times New Roman" w:eastAsia="Times New Roman" w:hAnsi="Times New Roman"/>
          <w:sz w:val="18"/>
          <w:szCs w:val="18"/>
          <w:color w:val="auto"/>
        </w:rPr>
        <w:t>”), at the same location.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Class A Ordinary Shares as of the Record Date are entitled to one (1) vote for each Class A Ordinary Share for each of the proposals and holders of Class B Ordinary Shares as of the Record Date are entitled to thirty (30) votes for each Class B Ordinary Share for each of the proposals.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Meeting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702,356.90 Class A Ordinary Shares of the Company were present in person or by proxy at the Class A Meeting, representing approximately 48.851% in nominal or par value amount of the issued Class A Ordinary Shares as of the Record Date, and therefore constituting a quorum of one or more Shareholders holding or representing by proxy at least one-third of the issued and outstanding Class A Ordinary Shares entitled to vote at the Class A Meeting. The matters voted on at the Class A Meeting were approved. The final voting results for the matters submitted to a vote of shareholders at the Class A Meeting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One: Increase of Class B Ordinary Shares in the Authorised Share Capital Proposal</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184"/>
        </w:trPr>
        <w:tc>
          <w:tcPr>
            <w:tcW w:w="73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Proposal 1: To increase the Authorised Share Capital of the Company to US$250,000,000.00</w:t>
            </w: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divided into 100,000,000,000 Ordinary Shares of par value of US$0.0025 each, comprising of (A)</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80,000,000,000 Class A Ordinary Shares; and (B) 20,000,000,000 Class B Ordinary Shares (the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Share Capital”), by redesignation of:</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the newly increased and unissued 79,960,206,598.04 Ordinary Shares be redesignated as Class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Ordinary Shares; and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 the newly increased and unissued 19,999,793,401.96 Ordinary Shares be redesignated into</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702,124.10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Two: Change of Voting Rights of Class B Ordinary Shares Proposal</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320" w:type="dxa"/>
            <w:vAlign w:val="bottom"/>
          </w:tcPr>
          <w:p>
            <w:pPr>
              <w:spacing w:after="0"/>
              <w:rPr>
                <w:sz w:val="24"/>
                <w:szCs w:val="24"/>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184"/>
        </w:trPr>
        <w:tc>
          <w:tcPr>
            <w:tcW w:w="73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Proposal 2: following the Increase of Share Capital, to change Class B Ordinary Share Voting Right</w:t>
            </w: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thirty votes per one Class B Ordinary Share to one hundred votes per one Class B Ordinary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on all matters subject to the votes at general meetings of the Company (the “Change of</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Voting Right of Class B Ordinary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702,124.10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705,163.80 Class A Ordinary Shares and holders of 206,598.04 Class B Ordinary Shares of the Company were present in person or by proxy at the EGM, representing approximately 49.047% of the 1,437,740 outstanding Class A Ordinary Shares and 100% of the 206,598.04 outstanding Class B Ordinary Shares as of the Record Date, and therefore constituting a quorum of at least one-third of all votes attached to all outstanding voting shares in issue and entitled to vote at the EGM. All matters voted on at the EGM were approved. The final voting results for the matters submitted to a vote of shareholders at the EGM are as follows: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One: Increase of Share Capital Proposal</w:t>
      </w:r>
    </w:p>
    <w:p>
      <w:pPr>
        <w:spacing w:after="0" w:line="225" w:lineRule="exact"/>
        <w:rPr>
          <w:sz w:val="20"/>
          <w:szCs w:val="20"/>
          <w:color w:val="auto"/>
        </w:rPr>
      </w:pPr>
    </w:p>
    <w:p>
      <w:pPr>
        <w:ind w:left="7760"/>
        <w:spacing w:after="0"/>
        <w:tabs>
          <w:tab w:leader="none" w:pos="8940" w:val="left"/>
          <w:tab w:leader="none" w:pos="10260" w:val="left"/>
        </w:tabs>
        <w:rPr>
          <w:sz w:val="20"/>
          <w:szCs w:val="20"/>
          <w:color w:val="auto"/>
        </w:rPr>
      </w:pPr>
      <w:r>
        <w:rPr>
          <w:rFonts w:ascii="Times New Roman" w:cs="Times New Roman" w:eastAsia="Times New Roman" w:hAnsi="Times New Roman"/>
          <w:sz w:val="18"/>
          <w:szCs w:val="18"/>
          <w:b w:val="1"/>
          <w:bCs w:val="1"/>
          <w:color w:val="auto"/>
        </w:rPr>
        <w:t>For</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242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242695"/>
                    </a:xfrm>
                    <a:prstGeom prst="rect">
                      <a:avLst/>
                    </a:prstGeom>
                    <a:noFill/>
                  </pic:spPr>
                </pic:pic>
              </a:graphicData>
            </a:graphic>
          </wp:anchor>
        </w:drawing>
      </w:r>
    </w:p>
    <w:p>
      <w:pPr>
        <w:spacing w:after="0" w:line="11" w:lineRule="exact"/>
        <w:rPr>
          <w:sz w:val="20"/>
          <w:szCs w:val="20"/>
          <w:color w:val="auto"/>
        </w:rPr>
      </w:pPr>
    </w:p>
    <w:p>
      <w:pPr>
        <w:jc w:val="both"/>
        <w:ind w:right="4040"/>
        <w:spacing w:after="0" w:line="253" w:lineRule="auto"/>
        <w:rPr>
          <w:sz w:val="20"/>
          <w:szCs w:val="20"/>
          <w:color w:val="auto"/>
        </w:rPr>
      </w:pPr>
      <w:r>
        <w:rPr>
          <w:rFonts w:ascii="Times New Roman" w:cs="Times New Roman" w:eastAsia="Times New Roman" w:hAnsi="Times New Roman"/>
          <w:sz w:val="18"/>
          <w:szCs w:val="18"/>
          <w:color w:val="auto"/>
        </w:rPr>
        <w:t>Proposal 1: to increase the authorized share capital of the Company (the “Authorised Share Capital”) to US$250,000,000.00 divided into 100,000,000,000 ordinary shares of par value of US$0.0025 each (each an “Ordinary Share”), comprising (A) 80,000,000,000 Class A Ordinary Shares of a par value of US$0.0025 each; and (B) 20,000,000,000 Class B Ordinary Shares of a par value of US$0.0025 each (the “Increase of Share Capital”), by redesignation of:</w:t>
      </w:r>
    </w:p>
    <w:p>
      <w:pPr>
        <w:spacing w:after="0" w:line="3" w:lineRule="exact"/>
        <w:rPr>
          <w:sz w:val="20"/>
          <w:szCs w:val="20"/>
          <w:color w:val="auto"/>
        </w:rPr>
      </w:pPr>
    </w:p>
    <w:p>
      <w:pPr>
        <w:ind w:right="4040" w:firstLine="8"/>
        <w:spacing w:after="0" w:line="250"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Ordinary Shares; and</w:t>
      </w: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4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911,761.84</w:t>
            </w: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322.80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Two: Change of Voting Rights of Class B Ordinary Shares Proposal</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184"/>
        </w:trPr>
        <w:tc>
          <w:tcPr>
            <w:tcW w:w="73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Proposal 2: following the Increase of Share Capital, to change Class B Ordinary Share Voting Right</w:t>
            </w: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thirty (30) votes per one Class B Ordinary Share to one hundred (100) votes per one Class B</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 on all matters subject to the votes at general meetings of the Company (the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of Voting Right of Class B Ordinary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911,761.84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Three: Charter Amendment Proposal</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320" w:type="dxa"/>
            <w:vAlign w:val="bottom"/>
          </w:tcPr>
          <w:p>
            <w:pPr>
              <w:spacing w:after="0"/>
              <w:rPr>
                <w:sz w:val="24"/>
                <w:szCs w:val="24"/>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184"/>
        </w:trPr>
        <w:tc>
          <w:tcPr>
            <w:tcW w:w="73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Proposal 3: subject to and conditional upon approval by the shareholders of Proposal No. 1 and</w:t>
            </w: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No. 2 and all requisite class consents being obtained, to adopt by the Company of the third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 articles of association of the Company (the “AR M&amp;A”) in replacement of</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second amended and restated memorandum and articles of association as adopted on January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 2026 (the “Existing Articles”) to reflect the Increase of Share Capital, the Change of Voting</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Class B Ordinary Shares and other clarification changes.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911,761.84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Four: Consolidation of Shares Proposal</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320" w:type="dxa"/>
            <w:vAlign w:val="bottom"/>
          </w:tcPr>
          <w:p>
            <w:pPr>
              <w:spacing w:after="0"/>
              <w:rPr>
                <w:sz w:val="24"/>
                <w:szCs w:val="24"/>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184"/>
        </w:trPr>
        <w:tc>
          <w:tcPr>
            <w:tcW w:w="73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Proposal 4: Following the Increase of Share Capital, to effect a reverse share split to the Company’s</w:t>
            </w: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authorised issued and unissued Class A Ordinary Shares by way of a consolidation (the “Share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Consolidation”) at an exchange ratio which no less than one-for-two (1:2) and no greater than one-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for-one thousand (1:1000) (the “Further Revised RS Ratio”) such that the number of authorised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unissued Class A is decreased by the Further Revised RS Ratio and the par value of each</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authorised, issued and outstanding Class A is increased by the Further Revised RS Ratio (together,</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“Further Revised Reverse Share Split”), with such Further Revised Reverse Share Split to be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effected at such time and date, if at all, and at a precise Further Revised RS Ratio up to a maximum</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one-for-one thousand (1:1000), in each case, as determined by the Directors at their discretion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a period of five years of obtaining the requisite shareholder approval for the Further Revised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Reverse Share Split (the “Further Revised Effective Time”).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911,777.84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Five: Fractional Entitlements Proposal</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320" w:type="dxa"/>
            <w:vAlign w:val="bottom"/>
          </w:tcPr>
          <w:p>
            <w:pPr>
              <w:spacing w:after="0"/>
              <w:rPr>
                <w:sz w:val="24"/>
                <w:szCs w:val="24"/>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184"/>
        </w:trPr>
        <w:tc>
          <w:tcPr>
            <w:tcW w:w="73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Proposal 5: in respect of any fractional entitlements to the issued consolidated shares resulting from</w:t>
            </w: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Further Revised Reverse Share Split, if so determined by the Directors in their sole discretion,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Directors be and are hereby authorised to settle as they consider expedient any difficulty which</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arises in relation to the Share Consolidation, including but without prejudice to the generality of the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foregoing capitalising all or any part of any amount for the time being standing to the credit of any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or fund of the Company (including its share premium account and profit and loss account,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the extent as permitted by the applicable laws) whether or not the same is available for</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and applying such sum in paying up unissued Class A Ordinary Shares to be issued to</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of the Company to round up any fractions of Class A Ordinary Shares issued to or</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 the name of such shareholders of the Company following or as a result of the Share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911,778.64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655"/>
        </w:trPr>
        <w:tc>
          <w:tcPr>
            <w:tcW w:w="732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A copy of the Third Amended and Restated Memorandum of Association is filed as Exhibit 3.1 to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45"/>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CCEEFF"/>
            </w:tcBorders>
          </w:tcPr>
          <w:p>
            <w:pPr>
              <w:spacing w:after="0"/>
              <w:rPr>
                <w:sz w:val="21"/>
                <w:szCs w:val="21"/>
                <w:color w:val="auto"/>
              </w:rPr>
            </w:pPr>
          </w:p>
        </w:tc>
        <w:tc>
          <w:tcPr>
            <w:tcW w:w="10220" w:type="dxa"/>
            <w:vAlign w:val="bottom"/>
            <w:tcBorders>
              <w:bottom w:val="single" w:sz="8" w:color="auto"/>
            </w:tcBorders>
            <w:gridSpan w:val="2"/>
          </w:tcPr>
          <w:p>
            <w:pPr>
              <w:ind w:left="46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51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Third Amended and Restated Memorandum and Article of Association</w:t>
            </w:r>
          </w:p>
        </w:tc>
        <w:tc>
          <w:tcPr>
            <w:tcW w:w="5100" w:type="dxa"/>
            <w:vAlign w:val="bottom"/>
            <w:tcBorders>
              <w:bottom w:val="single" w:sz="8" w:color="CCEEFF"/>
            </w:tcBorders>
            <w:shd w:val="clear" w:color="auto" w:fill="CCEEFF"/>
          </w:tcPr>
          <w:p>
            <w:pPr>
              <w:spacing w:after="0"/>
              <w:rPr>
                <w:sz w:val="17"/>
                <w:szCs w:val="17"/>
                <w:color w:val="auto"/>
              </w:rPr>
            </w:pPr>
          </w:p>
        </w:tc>
      </w:tr>
      <w:tr>
        <w:trPr>
          <w:trHeight w:val="655"/>
        </w:trPr>
        <w:tc>
          <w:tcPr>
            <w:tcW w:w="9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3</w:t>
            </w: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8, 2026</w:t>
      </w:r>
      <w:r>
        <w:rPr>
          <w:sz w:val="20"/>
          <w:szCs w:val="20"/>
          <w:color w:val="auto"/>
        </w:rPr>
        <w:tab/>
      </w:r>
      <w:r>
        <w:rPr>
          <w:rFonts w:ascii="Times New Roman" w:cs="Times New Roman" w:eastAsia="Times New Roman" w:hAnsi="Times New Roman"/>
          <w:sz w:val="17"/>
          <w:szCs w:val="17"/>
          <w:b w:val="1"/>
          <w:bCs w:val="1"/>
          <w:color w:val="auto"/>
        </w:rPr>
        <w:t>Intercont (Cayman) Limited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Muchun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Muchun Zhu</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COMPANIES ACT (AS AMENDED)</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2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(adopted by a Special Resolution passed on 5 June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AMENDED)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a Special Resolution passed on 5 June 2026)</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Intercont (Cayman) Limited.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will be situated at the offices of ICS Corporate Services (Cayman) Limited, Palm Grove Unit 4, 265 Smith Road, George Town, P.O. Box 52A Edgewater Way, #1653, Grand Cayman KY1-9006, Cayman Islands or at such other place in the Cayman Islands as the Directors may from time to time decide.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Companies Act (as amended) or any other laws of the Cayman Islands and shall have and be capable of from time to time and at all times exercising any and all of the powers at any time or from time to time exercisable by a natural person or body corporate in any part of the world whether as principal, agent, contractor or otherwise.</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permitted to carry on any business where a licence is required under the laws of the Cayman Islands to carry on such a business until such time as the relevant licence has been obtained.</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exempted company, the Company’s operations will be carried on subject to the provisions of Section 174 of the Companies Act (as amended).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Shareholder is limited to the amount from time to time unpaid on such Shareholder’s share.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US$250,000,000.00 divided into 100,000,000,000 Ordinary Shares Comprising of (i) 80,000,000,000 Class A Ordinary Shares of a par value of US$0.0025 each and (ii) 20,000,000,000 Class B Ordinary Shares of a par value of US$0.0025 each. Subject to the Companies Act and the Articles, the Company shall have power to increase or reduce the said capital and to issue any part of its capital, original or increased, with or without any preference, priority or special privilege or subject to any postponement of rights or to any conditions or restrictions; and so that, unless the condition of issue shall otherwise expressly declare, every issue of shares, whether declared to be preference or otherwise, shall be subject to the power hereinbefore contained.</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30 June in each year.</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Memorandum of Association bear the same meaning as those given in the Articles of Association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AMENDED)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a Special Resolution passed on 5 June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Regulations contained or incorporated in Table A in the First Schedule to the Companies Act shall not apply to the Company and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shall comprise the Articles of Association of the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of Association the following terms shall have the meanings set opposite unless the context otherwise requires:</w:t>
      </w:r>
    </w:p>
    <w:p>
      <w:pPr>
        <w:spacing w:after="0" w:line="248" w:lineRule="exact"/>
        <w:rPr>
          <w:rFonts w:ascii="Times New Roman" w:cs="Times New Roman" w:eastAsia="Times New Roman" w:hAnsi="Times New Roman"/>
          <w:sz w:val="18"/>
          <w:szCs w:val="18"/>
          <w:color w:val="auto"/>
        </w:rPr>
      </w:pPr>
    </w:p>
    <w:p>
      <w:pPr>
        <w:ind w:left="2160" w:hanging="149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means 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w:t>
      </w:r>
    </w:p>
    <w:p>
      <w:pPr>
        <w:sectPr>
          <w:pgSz w:w="11900" w:h="16838" w:orient="portrait"/>
          <w:cols w:equalWidth="0" w:num="1">
            <w:col w:w="11240"/>
          </w:cols>
          <w:pgMar w:left="320" w:top="900" w:right="339" w:bottom="1440" w:gutter="0" w:footer="0" w:header="0"/>
        </w:sectPr>
      </w:pPr>
    </w:p>
    <w:p>
      <w:pPr>
        <w:spacing w:after="0" w:line="18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these articles of association of the Company, as amended from time to time.</w:t>
      </w:r>
    </w:p>
    <w:p>
      <w:pPr>
        <w:spacing w:after="0" w:line="207" w:lineRule="exact"/>
        <w:rPr>
          <w:sz w:val="20"/>
          <w:szCs w:val="20"/>
          <w:color w:val="auto"/>
        </w:rPr>
      </w:pPr>
    </w:p>
    <w:p>
      <w:pPr>
        <w:sectPr>
          <w:pgSz w:w="11900" w:h="16838" w:orient="portrait"/>
          <w:cols w:equalWidth="0" w:num="2">
            <w:col w:w="1440" w:space="720"/>
            <w:col w:w="9080"/>
          </w:cols>
          <w:pgMar w:left="320" w:top="900" w:right="339" w:bottom="1440" w:gutter="0" w:footer="0" w:header="0"/>
          <w:type w:val="continuous"/>
        </w:sectPr>
      </w:pPr>
    </w:p>
    <w:p>
      <w:pPr>
        <w:spacing w:after="0" w:line="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b w:val="1"/>
          <w:bCs w:val="1"/>
          <w:color w:val="auto"/>
        </w:rPr>
        <w:t>“Auditors”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the auditors of the Company for the time being, if appointed.</w:t>
      </w:r>
    </w:p>
    <w:p>
      <w:pPr>
        <w:spacing w:after="0" w:line="200" w:lineRule="exact"/>
        <w:rPr>
          <w:sz w:val="20"/>
          <w:szCs w:val="20"/>
          <w:color w:val="auto"/>
        </w:rPr>
      </w:pPr>
    </w:p>
    <w:p>
      <w:pPr>
        <w:sectPr>
          <w:pgSz w:w="11900" w:h="16838" w:orient="portrait"/>
          <w:cols w:equalWidth="0" w:num="2">
            <w:col w:w="1520" w:space="640"/>
            <w:col w:w="9080"/>
          </w:cols>
          <w:pgMar w:left="320" w:top="900" w:right="339" w:bottom="1440" w:gutter="0" w:footer="0" w:header="0"/>
          <w:type w:val="continuous"/>
        </w:sectPr>
      </w:pPr>
    </w:p>
    <w:p>
      <w:pPr>
        <w:spacing w:after="0" w:line="3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7"/>
          <w:szCs w:val="17"/>
          <w:b w:val="1"/>
          <w:bCs w:val="1"/>
          <w:color w:val="auto"/>
        </w:rPr>
        <w:t>“Board of Directors” and “Board” and “Directors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means the directors of the Company for the time being, or as the case may be, the directors assembled as a board or as a committee thereof.</w:t>
      </w:r>
    </w:p>
    <w:p>
      <w:pPr>
        <w:spacing w:after="0" w:line="589" w:lineRule="exact"/>
        <w:rPr>
          <w:sz w:val="20"/>
          <w:szCs w:val="20"/>
          <w:color w:val="auto"/>
        </w:rPr>
      </w:pPr>
    </w:p>
    <w:p>
      <w:pPr>
        <w:sectPr>
          <w:pgSz w:w="11900" w:h="16838" w:orient="portrait"/>
          <w:cols w:equalWidth="0" w:num="2">
            <w:col w:w="1800" w:space="360"/>
            <w:col w:w="9080"/>
          </w:cols>
          <w:pgMar w:left="320" w:top="900" w:right="339" w:bottom="1440" w:gutter="0" w:footer="0" w:header="0"/>
          <w:type w:val="continuous"/>
        </w:sectPr>
      </w:pPr>
    </w:p>
    <w:p>
      <w:pPr>
        <w:ind w:left="660"/>
        <w:spacing w:after="0" w:line="317" w:lineRule="auto"/>
        <w:rPr>
          <w:sz w:val="20"/>
          <w:szCs w:val="20"/>
          <w:color w:val="auto"/>
        </w:rPr>
      </w:pPr>
      <w:r>
        <w:rPr>
          <w:rFonts w:ascii="Times New Roman" w:cs="Times New Roman" w:eastAsia="Times New Roman" w:hAnsi="Times New Roman"/>
          <w:sz w:val="17"/>
          <w:szCs w:val="17"/>
          <w:b w:val="1"/>
          <w:bCs w:val="1"/>
          <w:color w:val="auto"/>
        </w:rPr>
        <w:t>“Class A Ordinary Share”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an ordinary share of a par value of US$0.0025 in the capital of the Company, designated as a Class A Ordinary Share and having such rights and privileges and subject to such restrictions as set out in these Articles.</w:t>
      </w:r>
    </w:p>
    <w:p>
      <w:pPr>
        <w:spacing w:after="0" w:line="157" w:lineRule="exact"/>
        <w:rPr>
          <w:sz w:val="20"/>
          <w:szCs w:val="20"/>
          <w:color w:val="auto"/>
        </w:rPr>
      </w:pPr>
    </w:p>
    <w:p>
      <w:pPr>
        <w:sectPr>
          <w:pgSz w:w="11900" w:h="16838" w:orient="portrait"/>
          <w:cols w:equalWidth="0" w:num="2">
            <w:col w:w="1960" w:space="200"/>
            <w:col w:w="9080"/>
          </w:cols>
          <w:pgMar w:left="320" w:top="900" w:right="339" w:bottom="1440" w:gutter="0" w:footer="0" w:header="0"/>
          <w:type w:val="continuous"/>
        </w:sectPr>
      </w:pPr>
    </w:p>
    <w:p>
      <w:pPr>
        <w:ind w:left="660"/>
        <w:spacing w:after="0" w:line="317" w:lineRule="auto"/>
        <w:rPr>
          <w:sz w:val="20"/>
          <w:szCs w:val="20"/>
          <w:color w:val="auto"/>
        </w:rPr>
      </w:pPr>
      <w:r>
        <w:rPr>
          <w:rFonts w:ascii="Times New Roman" w:cs="Times New Roman" w:eastAsia="Times New Roman" w:hAnsi="Times New Roman"/>
          <w:sz w:val="17"/>
          <w:szCs w:val="17"/>
          <w:b w:val="1"/>
          <w:bCs w:val="1"/>
          <w:color w:val="auto"/>
        </w:rPr>
        <w:t>“Class B Ordinary Share”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an ordinary share of a par value of US$0.0025 in the capital of the Company, designated as a Class B Ordinary Share and having such rights and privileges and subject to such restrictions as set out in these Articles.</w:t>
      </w:r>
    </w:p>
    <w:p>
      <w:pPr>
        <w:spacing w:after="0" w:line="157" w:lineRule="exact"/>
        <w:rPr>
          <w:sz w:val="20"/>
          <w:szCs w:val="20"/>
          <w:color w:val="auto"/>
        </w:rPr>
      </w:pPr>
    </w:p>
    <w:p>
      <w:pPr>
        <w:sectPr>
          <w:pgSz w:w="11900" w:h="16838" w:orient="portrait"/>
          <w:cols w:equalWidth="0" w:num="2">
            <w:col w:w="1960" w:space="200"/>
            <w:col w:w="9080"/>
          </w:cols>
          <w:pgMar w:left="320" w:top="900"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b w:val="1"/>
          <w:bCs w:val="1"/>
          <w:color w:val="auto"/>
        </w:rPr>
        <w:t>“Commission”</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the Securities and Exchange Commission of the United States of America or any other federal agency for the time being administering the Securities Act and the Exchange Act.</w:t>
      </w:r>
    </w:p>
    <w:p>
      <w:pPr>
        <w:spacing w:after="0" w:line="158" w:lineRule="exact"/>
        <w:rPr>
          <w:sz w:val="20"/>
          <w:szCs w:val="20"/>
          <w:color w:val="auto"/>
        </w:rPr>
      </w:pPr>
    </w:p>
    <w:p>
      <w:pPr>
        <w:sectPr>
          <w:pgSz w:w="11900" w:h="16838" w:orient="portrait"/>
          <w:cols w:equalWidth="0" w:num="2">
            <w:col w:w="1780" w:space="380"/>
            <w:col w:w="9080"/>
          </w:cols>
          <w:pgMar w:left="320" w:top="900"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“Communications </w:t>
      </w:r>
      <w:r>
        <w:rPr>
          <w:rFonts w:ascii="Times New Roman" w:cs="Times New Roman" w:eastAsia="Times New Roman" w:hAnsi="Times New Roman"/>
          <w:sz w:val="18"/>
          <w:szCs w:val="18"/>
          <w:color w:val="auto"/>
        </w:rPr>
        <w:t>means technology (including video, video-conferencing, internet or online conferencing applications, telephone or tele-</w:t>
      </w:r>
    </w:p>
    <w:p>
      <w:pPr>
        <w:spacing w:after="0" w:line="31" w:lineRule="exact"/>
        <w:rPr>
          <w:sz w:val="20"/>
          <w:szCs w:val="20"/>
          <w:color w:val="auto"/>
        </w:rPr>
      </w:pPr>
    </w:p>
    <w:p>
      <w:pPr>
        <w:ind w:left="2160" w:hanging="1499"/>
        <w:spacing w:after="0" w:line="260" w:lineRule="auto"/>
        <w:tabs>
          <w:tab w:leader="none" w:pos="2140" w:val="left"/>
        </w:tabs>
        <w:rPr>
          <w:sz w:val="20"/>
          <w:szCs w:val="20"/>
          <w:color w:val="auto"/>
        </w:rPr>
      </w:pPr>
      <w:r>
        <w:rPr>
          <w:rFonts w:ascii="Times New Roman" w:cs="Times New Roman" w:eastAsia="Times New Roman" w:hAnsi="Times New Roman"/>
          <w:sz w:val="18"/>
          <w:szCs w:val="18"/>
          <w:b w:val="1"/>
          <w:bCs w:val="1"/>
          <w:color w:val="auto"/>
        </w:rPr>
        <w:t>Facilities”</w:t>
      </w:r>
      <w:r>
        <w:rPr>
          <w:sz w:val="20"/>
          <w:szCs w:val="20"/>
          <w:color w:val="auto"/>
        </w:rPr>
        <w:tab/>
      </w:r>
      <w:r>
        <w:rPr>
          <w:rFonts w:ascii="Times New Roman" w:cs="Times New Roman" w:eastAsia="Times New Roman" w:hAnsi="Times New Roman"/>
          <w:sz w:val="18"/>
          <w:szCs w:val="18"/>
          <w:color w:val="auto"/>
        </w:rPr>
        <w:t>conferencing and/or any other video-communications, internet or online conferencing application or telecommunications facilities) by means of which all persons participating in a meeting are capable of hearing and being heard by each other.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means Intercont (Cayman) Limited, a Cayman Islands exempted company.</w:t>
            </w:r>
          </w:p>
        </w:tc>
      </w:tr>
      <w:tr>
        <w:trPr>
          <w:trHeight w:val="410"/>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means the Companies Act (as amended) of Cayman Islands.</w:t>
            </w:r>
          </w:p>
        </w:tc>
      </w:tr>
      <w:tr>
        <w:trPr>
          <w:trHeight w:val="238"/>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Act”</w:t>
            </w:r>
          </w:p>
        </w:tc>
        <w:tc>
          <w:tcPr>
            <w:tcW w:w="9240" w:type="dxa"/>
            <w:vAlign w:val="bottom"/>
          </w:tcPr>
          <w:p>
            <w:pPr>
              <w:spacing w:after="0"/>
              <w:rPr>
                <w:sz w:val="20"/>
                <w:szCs w:val="20"/>
                <w:color w:val="auto"/>
              </w:rPr>
            </w:pPr>
          </w:p>
        </w:tc>
      </w:tr>
      <w:tr>
        <w:trPr>
          <w:trHeight w:val="410"/>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“Company’s</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means the website of the Company, the address or domain name of which has been notified to the Shareholders.</w:t>
            </w:r>
          </w:p>
        </w:tc>
      </w:tr>
      <w:tr>
        <w:trPr>
          <w:trHeight w:val="238"/>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Website”</w:t>
            </w:r>
          </w:p>
        </w:tc>
        <w:tc>
          <w:tcPr>
            <w:tcW w:w="9240" w:type="dxa"/>
            <w:vAlign w:val="bottom"/>
          </w:tcPr>
          <w:p>
            <w:pPr>
              <w:spacing w:after="0"/>
              <w:rPr>
                <w:sz w:val="20"/>
                <w:szCs w:val="20"/>
                <w:color w:val="auto"/>
              </w:rPr>
            </w:pPr>
          </w:p>
        </w:tc>
      </w:tr>
      <w:tr>
        <w:trPr>
          <w:trHeight w:val="414"/>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“control”</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means the ownership, directly or indirectly, of shares possessing more than 50% of the voting power of the corporation,</w:t>
            </w:r>
          </w:p>
        </w:tc>
      </w:tr>
      <w:tr>
        <w:trPr>
          <w:trHeight w:val="216"/>
        </w:trPr>
        <w:tc>
          <w:tcPr>
            <w:tcW w:w="2000" w:type="dxa"/>
            <w:vAlign w:val="bottom"/>
          </w:tcPr>
          <w:p>
            <w:pPr>
              <w:spacing w:after="0"/>
              <w:rPr>
                <w:sz w:val="18"/>
                <w:szCs w:val="18"/>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partnership or other entity (other than, in the case of a corporation, securities having such power only by reason of the</w:t>
            </w:r>
          </w:p>
        </w:tc>
      </w:tr>
      <w:tr>
        <w:trPr>
          <w:trHeight w:val="216"/>
        </w:trPr>
        <w:tc>
          <w:tcPr>
            <w:tcW w:w="2000" w:type="dxa"/>
            <w:vAlign w:val="bottom"/>
          </w:tcPr>
          <w:p>
            <w:pPr>
              <w:spacing w:after="0"/>
              <w:rPr>
                <w:sz w:val="18"/>
                <w:szCs w:val="18"/>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happening of a contingency), or having the power to control the management or elect a majority of members to the board of</w:t>
            </w:r>
          </w:p>
        </w:tc>
      </w:tr>
      <w:tr>
        <w:trPr>
          <w:trHeight w:val="234"/>
        </w:trPr>
        <w:tc>
          <w:tcPr>
            <w:tcW w:w="2000" w:type="dxa"/>
            <w:vAlign w:val="bottom"/>
          </w:tcPr>
          <w:p>
            <w:pPr>
              <w:spacing w:after="0"/>
              <w:rPr>
                <w:sz w:val="20"/>
                <w:szCs w:val="20"/>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or equivalent decision-making body of such corporation, partnership or other entity.</w:t>
            </w:r>
          </w:p>
        </w:tc>
      </w:tr>
      <w:tr>
        <w:trPr>
          <w:trHeight w:val="410"/>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“Designated</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means the Nasdaq Capital Market and/or any other stock exchange or interdealer quotation system in the United States on</w:t>
            </w:r>
          </w:p>
        </w:tc>
      </w:tr>
      <w:tr>
        <w:trPr>
          <w:trHeight w:val="216"/>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which any Shares are listed for trading.</w:t>
            </w:r>
          </w:p>
        </w:tc>
      </w:tr>
      <w:tr>
        <w:trPr>
          <w:trHeight w:val="238"/>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9240" w:type="dxa"/>
            <w:vAlign w:val="bottom"/>
          </w:tcPr>
          <w:p>
            <w:pPr>
              <w:spacing w:after="0"/>
              <w:rPr>
                <w:sz w:val="20"/>
                <w:szCs w:val="20"/>
                <w:color w:val="auto"/>
              </w:rPr>
            </w:pPr>
          </w:p>
        </w:tc>
      </w:tr>
      <w:tr>
        <w:trPr>
          <w:trHeight w:val="410"/>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“Designated</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means the relevant code, rules and regulations, as amended, from time to time, applicable as a result of the original and</w:t>
            </w:r>
          </w:p>
        </w:tc>
      </w:tr>
      <w:tr>
        <w:trPr>
          <w:trHeight w:val="216"/>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Stock Exchange</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continued listing of any Shares on the Designated Stock Exchange.</w:t>
            </w:r>
          </w:p>
        </w:tc>
      </w:tr>
      <w:tr>
        <w:trPr>
          <w:trHeight w:val="238"/>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Rules”</w:t>
            </w:r>
          </w:p>
        </w:tc>
        <w:tc>
          <w:tcPr>
            <w:tcW w:w="9240" w:type="dxa"/>
            <w:vAlign w:val="bottom"/>
          </w:tcPr>
          <w:p>
            <w:pPr>
              <w:spacing w:after="0"/>
              <w:rPr>
                <w:sz w:val="20"/>
                <w:szCs w:val="20"/>
                <w:color w:val="auto"/>
              </w:rPr>
            </w:pPr>
          </w:p>
        </w:tc>
      </w:tr>
      <w:tr>
        <w:trPr>
          <w:trHeight w:val="432"/>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has the meaning given to it in the Electronic Transactions Act.</w:t>
            </w:r>
          </w:p>
        </w:tc>
      </w:tr>
      <w:tr>
        <w:trPr>
          <w:trHeight w:val="410"/>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means electronic posting to the Company’s Website, transmission to any number, address or internet website or other electronic</w:t>
            </w:r>
          </w:p>
        </w:tc>
      </w:tr>
      <w:tr>
        <w:trPr>
          <w:trHeight w:val="238"/>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communication”</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delivery methods approved by the Directors.</w:t>
            </w:r>
          </w:p>
        </w:tc>
      </w:tr>
      <w:tr>
        <w:trPr>
          <w:trHeight w:val="410"/>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has the meaning given to that expression in the Electronic Transactions Act.</w:t>
            </w:r>
          </w:p>
        </w:tc>
      </w:tr>
      <w:tr>
        <w:trPr>
          <w:trHeight w:val="238"/>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Record”</w:t>
            </w:r>
          </w:p>
        </w:tc>
        <w:tc>
          <w:tcPr>
            <w:tcW w:w="9240" w:type="dxa"/>
            <w:vAlign w:val="bottom"/>
          </w:tcPr>
          <w:p>
            <w:pPr>
              <w:spacing w:after="0"/>
              <w:rPr>
                <w:sz w:val="20"/>
                <w:szCs w:val="20"/>
                <w:color w:val="auto"/>
              </w:rPr>
            </w:pPr>
          </w:p>
        </w:tc>
      </w:tr>
      <w:tr>
        <w:trPr>
          <w:trHeight w:val="410"/>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means the Electronic Transactions Act (as amended) of the Cayman Islands.</w:t>
            </w:r>
          </w:p>
        </w:tc>
      </w:tr>
      <w:tr>
        <w:trPr>
          <w:trHeight w:val="216"/>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9240" w:type="dxa"/>
            <w:vAlign w:val="bottom"/>
          </w:tcPr>
          <w:p>
            <w:pPr>
              <w:spacing w:after="0"/>
              <w:rPr>
                <w:sz w:val="18"/>
                <w:szCs w:val="18"/>
                <w:color w:val="auto"/>
              </w:rPr>
            </w:pPr>
          </w:p>
        </w:tc>
      </w:tr>
      <w:tr>
        <w:trPr>
          <w:trHeight w:val="238"/>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w:t>
            </w:r>
          </w:p>
        </w:tc>
        <w:tc>
          <w:tcPr>
            <w:tcW w:w="9240" w:type="dxa"/>
            <w:vAlign w:val="bottom"/>
          </w:tcPr>
          <w:p>
            <w:pPr>
              <w:spacing w:after="0"/>
              <w:rPr>
                <w:sz w:val="20"/>
                <w:szCs w:val="20"/>
                <w:color w:val="auto"/>
              </w:rPr>
            </w:pPr>
          </w:p>
        </w:tc>
      </w:tr>
      <w:tr>
        <w:trPr>
          <w:trHeight w:val="432"/>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means the United States Securities Exchange Act of 1934, as amended from time to time.</w:t>
            </w:r>
          </w:p>
        </w:tc>
      </w:tr>
      <w:tr>
        <w:trPr>
          <w:trHeight w:val="414"/>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“in writing”</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means written, printed, lithographed, Electronic Record, photographed or telexed or represented by any other substitute for</w:t>
            </w:r>
          </w:p>
        </w:tc>
      </w:tr>
      <w:tr>
        <w:trPr>
          <w:trHeight w:val="234"/>
        </w:trPr>
        <w:tc>
          <w:tcPr>
            <w:tcW w:w="2000" w:type="dxa"/>
            <w:vAlign w:val="bottom"/>
          </w:tcPr>
          <w:p>
            <w:pPr>
              <w:spacing w:after="0"/>
              <w:rPr>
                <w:sz w:val="20"/>
                <w:szCs w:val="20"/>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writing or partly one and partly another.</w:t>
            </w:r>
          </w:p>
        </w:tc>
      </w:tr>
      <w:tr>
        <w:trPr>
          <w:trHeight w:val="410"/>
        </w:trPr>
        <w:tc>
          <w:tcPr>
            <w:tcW w:w="112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“Memorandum” </w:t>
            </w:r>
            <w:r>
              <w:rPr>
                <w:rFonts w:ascii="Times New Roman" w:cs="Times New Roman" w:eastAsia="Times New Roman" w:hAnsi="Times New Roman"/>
                <w:sz w:val="18"/>
                <w:szCs w:val="18"/>
                <w:color w:val="auto"/>
              </w:rPr>
              <w:t>means the Memorandum of Association of the Company, as amended from time to time.</w:t>
            </w:r>
          </w:p>
        </w:tc>
      </w:tr>
      <w:tr>
        <w:trPr>
          <w:trHeight w:val="216"/>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or</w:t>
            </w:r>
          </w:p>
        </w:tc>
        <w:tc>
          <w:tcPr>
            <w:tcW w:w="9240" w:type="dxa"/>
            <w:vAlign w:val="bottom"/>
          </w:tcPr>
          <w:p>
            <w:pPr>
              <w:spacing w:after="0"/>
              <w:rPr>
                <w:sz w:val="18"/>
                <w:szCs w:val="18"/>
                <w:color w:val="auto"/>
              </w:rPr>
            </w:pPr>
          </w:p>
        </w:tc>
      </w:tr>
      <w:tr>
        <w:trPr>
          <w:trHeight w:val="216"/>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“Memorandum</w:t>
            </w:r>
          </w:p>
        </w:tc>
        <w:tc>
          <w:tcPr>
            <w:tcW w:w="9240" w:type="dxa"/>
            <w:vAlign w:val="bottom"/>
          </w:tcPr>
          <w:p>
            <w:pPr>
              <w:spacing w:after="0"/>
              <w:rPr>
                <w:sz w:val="18"/>
                <w:szCs w:val="18"/>
                <w:color w:val="auto"/>
              </w:rPr>
            </w:pPr>
          </w:p>
        </w:tc>
      </w:tr>
      <w:tr>
        <w:trPr>
          <w:trHeight w:val="238"/>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of Association”</w:t>
            </w:r>
          </w:p>
        </w:tc>
        <w:tc>
          <w:tcPr>
            <w:tcW w:w="9240" w:type="dxa"/>
            <w:vAlign w:val="bottom"/>
          </w:tcPr>
          <w:p>
            <w:pPr>
              <w:spacing w:after="0"/>
              <w:rPr>
                <w:sz w:val="20"/>
                <w:szCs w:val="20"/>
                <w:color w:val="auto"/>
              </w:rPr>
            </w:pPr>
          </w:p>
        </w:tc>
      </w:tr>
      <w:tr>
        <w:trPr>
          <w:trHeight w:val="410"/>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means a resolution:</w:t>
            </w:r>
          </w:p>
        </w:tc>
      </w:tr>
      <w:tr>
        <w:trPr>
          <w:trHeight w:val="238"/>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Resolution”</w:t>
            </w:r>
          </w:p>
        </w:tc>
        <w:tc>
          <w:tcPr>
            <w:tcW w:w="9240" w:type="dxa"/>
            <w:vAlign w:val="bottom"/>
          </w:tcPr>
          <w:p>
            <w:pPr>
              <w:spacing w:after="0"/>
              <w:rPr>
                <w:sz w:val="20"/>
                <w:szCs w:val="20"/>
                <w:color w:val="auto"/>
              </w:rPr>
            </w:pPr>
          </w:p>
        </w:tc>
      </w:tr>
      <w:tr>
        <w:trPr>
          <w:trHeight w:val="414"/>
        </w:trPr>
        <w:tc>
          <w:tcPr>
            <w:tcW w:w="2000" w:type="dxa"/>
            <w:vAlign w:val="bottom"/>
          </w:tcPr>
          <w:p>
            <w:pPr>
              <w:spacing w:after="0"/>
              <w:rPr>
                <w:sz w:val="24"/>
                <w:szCs w:val="24"/>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passed by a simple majority of such Shareholders as, being entitled to do so, vote in person or, where proxies are allowed,</w:t>
            </w:r>
          </w:p>
        </w:tc>
      </w:tr>
      <w:tr>
        <w:trPr>
          <w:trHeight w:val="216"/>
        </w:trPr>
        <w:tc>
          <w:tcPr>
            <w:tcW w:w="2000" w:type="dxa"/>
            <w:vAlign w:val="bottom"/>
          </w:tcPr>
          <w:p>
            <w:pPr>
              <w:spacing w:after="0"/>
              <w:rPr>
                <w:sz w:val="18"/>
                <w:szCs w:val="18"/>
                <w:color w:val="auto"/>
              </w:rPr>
            </w:pPr>
          </w:p>
        </w:tc>
        <w:tc>
          <w:tcPr>
            <w:tcW w:w="9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by proxy at a general meeting of the Company and where a poll is taken regard shall be had in computing a majority to the</w:t>
            </w:r>
          </w:p>
        </w:tc>
      </w:tr>
      <w:tr>
        <w:trPr>
          <w:trHeight w:val="234"/>
        </w:trPr>
        <w:tc>
          <w:tcPr>
            <w:tcW w:w="2000" w:type="dxa"/>
            <w:vAlign w:val="bottom"/>
          </w:tcPr>
          <w:p>
            <w:pPr>
              <w:spacing w:after="0"/>
              <w:rPr>
                <w:sz w:val="20"/>
                <w:szCs w:val="20"/>
                <w:color w:val="auto"/>
              </w:rPr>
            </w:pPr>
          </w:p>
        </w:tc>
        <w:tc>
          <w:tcPr>
            <w:tcW w:w="9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number of votes to which each Shareholder is entitled; or</w:t>
            </w:r>
          </w:p>
        </w:tc>
      </w:tr>
      <w:tr>
        <w:trPr>
          <w:trHeight w:val="414"/>
        </w:trPr>
        <w:tc>
          <w:tcPr>
            <w:tcW w:w="2000" w:type="dxa"/>
            <w:vAlign w:val="bottom"/>
          </w:tcPr>
          <w:p>
            <w:pPr>
              <w:spacing w:after="0"/>
              <w:rPr>
                <w:sz w:val="24"/>
                <w:szCs w:val="24"/>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approved in writing by all of the Shareholders entitled to vote at a general meeting of the Company in one or more</w:t>
            </w:r>
          </w:p>
        </w:tc>
      </w:tr>
      <w:tr>
        <w:trPr>
          <w:trHeight w:val="216"/>
        </w:trPr>
        <w:tc>
          <w:tcPr>
            <w:tcW w:w="2000" w:type="dxa"/>
            <w:vAlign w:val="bottom"/>
          </w:tcPr>
          <w:p>
            <w:pPr>
              <w:spacing w:after="0"/>
              <w:rPr>
                <w:sz w:val="18"/>
                <w:szCs w:val="18"/>
                <w:color w:val="auto"/>
              </w:rPr>
            </w:pPr>
          </w:p>
        </w:tc>
        <w:tc>
          <w:tcPr>
            <w:tcW w:w="9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instruments signed in the aggregate by all of the Shareholders and the effective date of the resolution so adopted shall be</w:t>
            </w:r>
          </w:p>
        </w:tc>
      </w:tr>
      <w:tr>
        <w:trPr>
          <w:trHeight w:val="234"/>
        </w:trPr>
        <w:tc>
          <w:tcPr>
            <w:tcW w:w="2000" w:type="dxa"/>
            <w:vAlign w:val="bottom"/>
          </w:tcPr>
          <w:p>
            <w:pPr>
              <w:spacing w:after="0"/>
              <w:rPr>
                <w:sz w:val="20"/>
                <w:szCs w:val="20"/>
                <w:color w:val="auto"/>
              </w:rPr>
            </w:pPr>
          </w:p>
        </w:tc>
        <w:tc>
          <w:tcPr>
            <w:tcW w:w="9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date on which the instrument, or the last of such instruments if more than one, is signed.</w:t>
            </w:r>
          </w:p>
        </w:tc>
      </w:tr>
      <w:tr>
        <w:trPr>
          <w:trHeight w:val="410"/>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means an ordinary share in the capital of the Company.</w:t>
            </w:r>
          </w:p>
        </w:tc>
      </w:tr>
      <w:tr>
        <w:trPr>
          <w:trHeight w:val="238"/>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240" w:type="dxa"/>
            <w:vAlign w:val="bottom"/>
          </w:tcPr>
          <w:p>
            <w:pPr>
              <w:spacing w:after="0"/>
              <w:rPr>
                <w:sz w:val="20"/>
                <w:szCs w:val="20"/>
                <w:color w:val="auto"/>
              </w:rPr>
            </w:pPr>
          </w:p>
        </w:tc>
      </w:tr>
      <w:tr>
        <w:trPr>
          <w:trHeight w:val="432"/>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“paid up”</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includes credited as paid up.</w:t>
            </w:r>
          </w:p>
        </w:tc>
      </w:tr>
      <w:tr>
        <w:trPr>
          <w:trHeight w:val="414"/>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means any natural person, firm, company, joint venture, partnership, corporation, association or other entity (whether or not</w:t>
            </w:r>
          </w:p>
        </w:tc>
      </w:tr>
      <w:tr>
        <w:trPr>
          <w:trHeight w:val="234"/>
        </w:trPr>
        <w:tc>
          <w:tcPr>
            <w:tcW w:w="2000" w:type="dxa"/>
            <w:vAlign w:val="bottom"/>
          </w:tcPr>
          <w:p>
            <w:pPr>
              <w:spacing w:after="0"/>
              <w:rPr>
                <w:sz w:val="20"/>
                <w:szCs w:val="20"/>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having a separate legal personality) or any of them as the context so requires.</w:t>
            </w:r>
          </w:p>
        </w:tc>
      </w:tr>
      <w:tr>
        <w:trPr>
          <w:trHeight w:val="410"/>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means the registered office of the Company as provided in Section 50 of the Companies Act.</w:t>
            </w:r>
          </w:p>
        </w:tc>
      </w:tr>
      <w:tr>
        <w:trPr>
          <w:trHeight w:val="238"/>
        </w:trPr>
        <w:tc>
          <w:tcPr>
            <w:tcW w:w="2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9240" w:type="dxa"/>
            <w:vAlign w:val="bottom"/>
          </w:tcPr>
          <w:p>
            <w:pPr>
              <w:spacing w:after="0"/>
              <w:rPr>
                <w:sz w:val="20"/>
                <w:szCs w:val="20"/>
                <w:color w:val="auto"/>
              </w:rPr>
            </w:pPr>
          </w:p>
        </w:tc>
      </w:tr>
      <w:tr>
        <w:trPr>
          <w:trHeight w:val="682"/>
        </w:trPr>
        <w:tc>
          <w:tcPr>
            <w:tcW w:w="200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ind w:left="35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27" w:right="339" w:bottom="798" w:gutter="0" w:footer="0" w:header="0"/>
        </w:sectPr>
      </w:pPr>
    </w:p>
    <w:bookmarkStart w:id="9" w:name="page10"/>
    <w:bookmarkEnd w:id="9"/>
    <w:p>
      <w:pPr>
        <w:ind w:left="652"/>
        <w:spacing w:after="0"/>
        <w:rPr>
          <w:sz w:val="20"/>
          <w:szCs w:val="20"/>
          <w:color w:val="auto"/>
        </w:rPr>
      </w:pPr>
      <w:r>
        <w:rPr>
          <w:rFonts w:ascii="Times New Roman" w:cs="Times New Roman" w:eastAsia="Times New Roman" w:hAnsi="Times New Roman"/>
          <w:sz w:val="17"/>
          <w:szCs w:val="17"/>
          <w:b w:val="1"/>
          <w:bCs w:val="1"/>
          <w:color w:val="auto"/>
        </w:rPr>
        <w:t>“Register of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the register to be kept by the Company in accordance with Section 40 of the Companies Act.</w:t>
      </w:r>
    </w:p>
    <w:p>
      <w:pPr>
        <w:spacing w:after="0" w:line="200" w:lineRule="exact"/>
        <w:rPr>
          <w:sz w:val="20"/>
          <w:szCs w:val="20"/>
          <w:color w:val="auto"/>
        </w:rPr>
      </w:pPr>
    </w:p>
    <w:p>
      <w:pPr>
        <w:sectPr>
          <w:pgSz w:w="11900" w:h="16838" w:orient="portrait"/>
          <w:cols w:equalWidth="0" w:num="2">
            <w:col w:w="2432" w:space="580"/>
            <w:col w:w="8220"/>
          </w:cols>
          <w:pgMar w:left="328" w:top="927" w:right="339" w:bottom="1440" w:gutter="0" w:footer="0" w:header="0"/>
        </w:sectPr>
      </w:pPr>
    </w:p>
    <w:p>
      <w:pPr>
        <w:spacing w:after="0" w:line="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b w:val="1"/>
          <w:bCs w:val="1"/>
          <w:color w:val="auto"/>
        </w:rPr>
        <w:t>“Seal”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means the common seal (if any) of the Company including any facsimile thereof for use outside of the Cayman Islands.</w:t>
      </w:r>
    </w:p>
    <w:p>
      <w:pPr>
        <w:spacing w:after="0" w:line="158" w:lineRule="exact"/>
        <w:rPr>
          <w:sz w:val="20"/>
          <w:szCs w:val="20"/>
          <w:color w:val="auto"/>
        </w:rPr>
      </w:pPr>
    </w:p>
    <w:p>
      <w:pPr>
        <w:sectPr>
          <w:pgSz w:w="11900" w:h="16838" w:orient="portrait"/>
          <w:cols w:equalWidth="0" w:num="2">
            <w:col w:w="2292" w:space="720"/>
            <w:col w:w="8220"/>
          </w:cols>
          <w:pgMar w:left="328" w:top="927" w:right="339" w:bottom="1440" w:gutter="0" w:footer="0" w:header="0"/>
          <w:type w:val="continuous"/>
        </w:sectPr>
      </w:pPr>
    </w:p>
    <w:p>
      <w:pPr>
        <w:ind w:left="652"/>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any person appointed by the Directors to perform any of the duties of the secretary of the Company including any assistant secretary.</w:t>
      </w:r>
    </w:p>
    <w:p>
      <w:pPr>
        <w:spacing w:after="0" w:line="158" w:lineRule="exact"/>
        <w:rPr>
          <w:sz w:val="20"/>
          <w:szCs w:val="20"/>
          <w:color w:val="auto"/>
        </w:rPr>
      </w:pPr>
    </w:p>
    <w:p>
      <w:pPr>
        <w:sectPr>
          <w:pgSz w:w="11900" w:h="16838" w:orient="portrait"/>
          <w:cols w:equalWidth="0" w:num="2">
            <w:col w:w="2292" w:space="720"/>
            <w:col w:w="8220"/>
          </w:cols>
          <w:pgMar w:left="328" w:top="927" w:right="339" w:bottom="1440" w:gutter="0" w:footer="0" w:header="0"/>
          <w:type w:val="continuous"/>
        </w:sectPr>
      </w:pPr>
    </w:p>
    <w:p>
      <w:pPr>
        <w:ind w:left="652"/>
        <w:spacing w:after="0"/>
        <w:rPr>
          <w:sz w:val="20"/>
          <w:szCs w:val="20"/>
          <w:color w:val="auto"/>
        </w:rPr>
      </w:pPr>
      <w:r>
        <w:rPr>
          <w:rFonts w:ascii="Times New Roman" w:cs="Times New Roman" w:eastAsia="Times New Roman" w:hAnsi="Times New Roman"/>
          <w:sz w:val="17"/>
          <w:szCs w:val="17"/>
          <w:b w:val="1"/>
          <w:bCs w:val="1"/>
          <w:color w:val="auto"/>
        </w:rPr>
        <w:t>“Securities Act”</w:t>
      </w:r>
    </w:p>
    <w:p>
      <w:pPr>
        <w:spacing w:after="0" w:line="4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United States Securities Act of 1933, as amended from time to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 share of any class in the capital of the Company.</w:t>
      </w:r>
    </w:p>
    <w:p>
      <w:pPr>
        <w:spacing w:after="0" w:line="200" w:lineRule="exact"/>
        <w:rPr>
          <w:sz w:val="20"/>
          <w:szCs w:val="20"/>
          <w:color w:val="auto"/>
        </w:rPr>
      </w:pPr>
    </w:p>
    <w:p>
      <w:pPr>
        <w:sectPr>
          <w:pgSz w:w="11900" w:h="16838" w:orient="portrait"/>
          <w:cols w:equalWidth="0" w:num="2">
            <w:col w:w="2292" w:space="720"/>
            <w:col w:w="8220"/>
          </w:cols>
          <w:pgMar w:left="328" w:top="927" w:right="339" w:bottom="1440" w:gutter="0" w:footer="0" w:header="0"/>
          <w:type w:val="continuous"/>
        </w:sectPr>
      </w:pPr>
    </w:p>
    <w:p>
      <w:pPr>
        <w:spacing w:after="0" w:line="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b w:val="1"/>
          <w:bCs w:val="1"/>
          <w:color w:val="auto"/>
        </w:rPr>
        <w:t>“Shareholder” and</w:t>
      </w:r>
    </w:p>
    <w:p>
      <w:pPr>
        <w:spacing w:after="0" w:line="4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person whose name is entered in the Register of Members.</w:t>
      </w:r>
    </w:p>
    <w:p>
      <w:pPr>
        <w:spacing w:after="0" w:line="445" w:lineRule="exact"/>
        <w:rPr>
          <w:sz w:val="20"/>
          <w:szCs w:val="20"/>
          <w:color w:val="auto"/>
        </w:rPr>
      </w:pPr>
    </w:p>
    <w:p>
      <w:pPr>
        <w:sectPr>
          <w:pgSz w:w="11900" w:h="16838" w:orient="portrait"/>
          <w:cols w:equalWidth="0" w:num="2">
            <w:col w:w="2292" w:space="720"/>
            <w:col w:w="8220"/>
          </w:cols>
          <w:pgMar w:left="328" w:top="927" w:right="339" w:bottom="1440" w:gutter="0" w:footer="0" w:header="0"/>
          <w:type w:val="continuous"/>
        </w:sectPr>
      </w:pPr>
    </w:p>
    <w:p>
      <w:pPr>
        <w:spacing w:after="0" w:line="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b w:val="1"/>
          <w:bCs w:val="1"/>
          <w:color w:val="auto"/>
        </w:rPr>
        <w:t>“signed”</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means bearing a signature or representation of a signature affixed by mechanical means or an electronic symbol or process attached to or logically associated with an electronic communication and executed or adopted by a person with the intent to sign the electronic communication.</w:t>
      </w:r>
    </w:p>
    <w:p>
      <w:pPr>
        <w:spacing w:after="0" w:line="172" w:lineRule="exact"/>
        <w:rPr>
          <w:sz w:val="20"/>
          <w:szCs w:val="20"/>
          <w:color w:val="auto"/>
        </w:rPr>
      </w:pPr>
    </w:p>
    <w:p>
      <w:pPr>
        <w:sectPr>
          <w:pgSz w:w="11900" w:h="16838" w:orient="portrait"/>
          <w:cols w:equalWidth="0" w:num="2">
            <w:col w:w="2292" w:space="720"/>
            <w:col w:w="8220"/>
          </w:cols>
          <w:pgMar w:left="328" w:top="927" w:right="339" w:bottom="1440" w:gutter="0" w:footer="0" w:header="0"/>
          <w:type w:val="continuous"/>
        </w:sectPr>
      </w:pPr>
    </w:p>
    <w:p>
      <w:pPr>
        <w:ind w:left="652"/>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a resolution passed in accordance with Section 60 of the Companies Act, being a resolution:</w:t>
      </w:r>
    </w:p>
    <w:p>
      <w:pPr>
        <w:spacing w:after="0" w:line="200" w:lineRule="exact"/>
        <w:rPr>
          <w:sz w:val="20"/>
          <w:szCs w:val="20"/>
          <w:color w:val="auto"/>
        </w:rPr>
      </w:pPr>
    </w:p>
    <w:p>
      <w:pPr>
        <w:sectPr>
          <w:pgSz w:w="11900" w:h="16838" w:orient="portrait"/>
          <w:cols w:equalWidth="0" w:num="2">
            <w:col w:w="2292" w:space="720"/>
            <w:col w:w="8220"/>
          </w:cols>
          <w:pgMar w:left="328" w:top="927" w:right="339" w:bottom="1440" w:gutter="0" w:footer="0" w:header="0"/>
          <w:type w:val="continuous"/>
        </w:sectPr>
      </w:pPr>
    </w:p>
    <w:p>
      <w:pPr>
        <w:spacing w:after="0" w:line="52" w:lineRule="exact"/>
        <w:rPr>
          <w:sz w:val="20"/>
          <w:szCs w:val="20"/>
          <w:color w:val="auto"/>
        </w:rPr>
      </w:pPr>
    </w:p>
    <w:p>
      <w:pPr>
        <w:jc w:val="both"/>
        <w:ind w:left="3292" w:hanging="319"/>
        <w:spacing w:after="0" w:line="258" w:lineRule="auto"/>
        <w:tabs>
          <w:tab w:leader="none" w:pos="3272" w:val="left"/>
        </w:tabs>
        <w:rPr>
          <w:sz w:val="20"/>
          <w:szCs w:val="20"/>
          <w:color w:val="auto"/>
        </w:rPr>
      </w:pPr>
      <w:r>
        <w:rPr>
          <w:rFonts w:ascii="Times New Roman" w:cs="Times New Roman" w:eastAsia="Times New Roman" w:hAnsi="Times New Roman"/>
          <w:sz w:val="18"/>
          <w:szCs w:val="18"/>
          <w:color w:val="auto"/>
        </w:rPr>
        <w:t>a.</w:t>
        <w:tab/>
        <w:t>passed by a majority of not less than two-thirds of such Shareholders as, being entitled to do so, vote in person or, where proxies are allowed, by proxy at a general meeting of the Company of which notice specifying the intention to propose the resolution as a Special Resolution has been duly given and where a poll is taken regard shall be had in computing such a majority to the number of votes to which each Shareholder is entitled; or</w:t>
      </w:r>
    </w:p>
    <w:p>
      <w:pPr>
        <w:spacing w:after="0" w:line="183" w:lineRule="exact"/>
        <w:rPr>
          <w:sz w:val="20"/>
          <w:szCs w:val="20"/>
          <w:color w:val="auto"/>
        </w:rPr>
      </w:pPr>
    </w:p>
    <w:p>
      <w:pPr>
        <w:jc w:val="both"/>
        <w:ind w:left="3292" w:hanging="319"/>
        <w:spacing w:after="0" w:line="261" w:lineRule="auto"/>
        <w:tabs>
          <w:tab w:leader="none" w:pos="3272" w:val="left"/>
        </w:tabs>
        <w:rPr>
          <w:sz w:val="20"/>
          <w:szCs w:val="20"/>
          <w:color w:val="auto"/>
        </w:rPr>
      </w:pPr>
      <w:r>
        <w:rPr>
          <w:rFonts w:ascii="Times New Roman" w:cs="Times New Roman" w:eastAsia="Times New Roman" w:hAnsi="Times New Roman"/>
          <w:sz w:val="18"/>
          <w:szCs w:val="18"/>
          <w:color w:val="auto"/>
        </w:rPr>
        <w:t>b.</w:t>
        <w:tab/>
        <w:t>approved in writing by all of the Shareholders entitled to vote at a general meeting of the Company in one or more instruments signed in the aggregate by all of the Shareholders and the effective date of the Special Resolution so adopted shall be the date on which the instrument or the last of such instruments if more than one, is executed.</w:t>
      </w:r>
    </w:p>
    <w:p>
      <w:pPr>
        <w:sectPr>
          <w:pgSz w:w="11900" w:h="16838" w:orient="portrait"/>
          <w:cols w:equalWidth="0" w:num="1">
            <w:col w:w="11232"/>
          </w:cols>
          <w:pgMar w:left="328" w:top="927" w:right="339" w:bottom="1440" w:gutter="0" w:footer="0" w:header="0"/>
          <w:type w:val="continuous"/>
        </w:sectPr>
      </w:pPr>
    </w:p>
    <w:p>
      <w:pPr>
        <w:spacing w:after="0" w:line="20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b w:val="1"/>
          <w:bCs w:val="1"/>
          <w:color w:val="auto"/>
        </w:rPr>
        <w:t>“Treasury Share”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a Share held in the name of the Company as a treasury share in accordance with the Companies Act.</w:t>
      </w:r>
    </w:p>
    <w:p>
      <w:pPr>
        <w:spacing w:after="0" w:line="200" w:lineRule="exact"/>
        <w:rPr>
          <w:sz w:val="20"/>
          <w:szCs w:val="20"/>
          <w:color w:val="auto"/>
        </w:rPr>
      </w:pPr>
    </w:p>
    <w:p>
      <w:pPr>
        <w:sectPr>
          <w:pgSz w:w="11900" w:h="16838" w:orient="portrait"/>
          <w:cols w:equalWidth="0" w:num="2">
            <w:col w:w="2292" w:space="720"/>
            <w:col w:w="8220"/>
          </w:cols>
          <w:pgMar w:left="328" w:top="927" w:right="339" w:bottom="1440" w:gutter="0" w:footer="0" w:header="0"/>
          <w:type w:val="continuous"/>
        </w:sectPr>
      </w:pPr>
    </w:p>
    <w:p>
      <w:pPr>
        <w:spacing w:after="0" w:line="3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the United States of America, its territories, its possessions and all areas subject to its jurisdiction.</w:t>
      </w:r>
    </w:p>
    <w:p>
      <w:pPr>
        <w:spacing w:after="0" w:line="200" w:lineRule="exact"/>
        <w:rPr>
          <w:sz w:val="20"/>
          <w:szCs w:val="20"/>
          <w:color w:val="auto"/>
        </w:rPr>
      </w:pPr>
    </w:p>
    <w:p>
      <w:pPr>
        <w:sectPr>
          <w:pgSz w:w="11900" w:h="16838" w:orient="portrait"/>
          <w:cols w:equalWidth="0" w:num="2">
            <w:col w:w="2292" w:space="720"/>
            <w:col w:w="8220"/>
          </w:cols>
          <w:pgMar w:left="328" w:top="927" w:right="339" w:bottom="1440" w:gutter="0" w:footer="0" w:header="0"/>
          <w:type w:val="continuous"/>
        </w:sectPr>
      </w:pPr>
    </w:p>
    <w:p>
      <w:pPr>
        <w:spacing w:after="0" w:line="3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b w:val="1"/>
          <w:bCs w:val="1"/>
          <w:color w:val="auto"/>
        </w:rPr>
        <w:t>“Virtual Meeting”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means any general meeting of the Shareholders (or any meeting of the holders of any class of Shares) at which the Shareholders (and any other permitted participants of such meeting, including without limitation the chairman of the meeting and any Directors) are permitted to be present solely by means of Communications Facilities.</w:t>
      </w:r>
    </w:p>
    <w:p>
      <w:pPr>
        <w:spacing w:after="0" w:line="200" w:lineRule="exact"/>
        <w:rPr>
          <w:sz w:val="20"/>
          <w:szCs w:val="20"/>
          <w:color w:val="auto"/>
        </w:rPr>
      </w:pPr>
    </w:p>
    <w:p>
      <w:pPr>
        <w:sectPr>
          <w:pgSz w:w="11900" w:h="16838" w:orient="portrait"/>
          <w:cols w:equalWidth="0" w:num="2">
            <w:col w:w="2292" w:space="720"/>
            <w:col w:w="8220"/>
          </w:cols>
          <w:pgMar w:left="328" w:top="927" w:right="339" w:bottom="1440" w:gutter="0" w:footer="0" w:header="0"/>
          <w:type w:val="continuous"/>
        </w:sectPr>
      </w:pPr>
    </w:p>
    <w:p>
      <w:pPr>
        <w:spacing w:after="0" w:line="3" w:lineRule="exact"/>
        <w:rPr>
          <w:sz w:val="20"/>
          <w:szCs w:val="20"/>
          <w:color w:val="auto"/>
        </w:rPr>
      </w:pPr>
    </w:p>
    <w:p>
      <w:pPr>
        <w:ind w:left="652" w:hanging="652"/>
        <w:spacing w:after="0"/>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save where the context requires otherwise:</w:t>
      </w:r>
    </w:p>
    <w:p>
      <w:pPr>
        <w:spacing w:after="0" w:line="223"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color w:val="auto"/>
        </w:rPr>
        <w:t xml:space="preserve">words importing the singular number shall include the plural number and </w:t>
      </w:r>
      <w:r>
        <w:rPr>
          <w:rFonts w:ascii="Times New Roman" w:cs="Times New Roman" w:eastAsia="Times New Roman" w:hAnsi="Times New Roman"/>
          <w:sz w:val="17"/>
          <w:szCs w:val="17"/>
          <w:i w:val="1"/>
          <w:iCs w:val="1"/>
          <w:color w:val="auto"/>
        </w:rPr>
        <w:t>vice versa</w:t>
      </w:r>
      <w:r>
        <w:rPr>
          <w:rFonts w:ascii="Times New Roman" w:cs="Times New Roman" w:eastAsia="Times New Roman" w:hAnsi="Times New Roman"/>
          <w:sz w:val="17"/>
          <w:szCs w:val="17"/>
          <w:color w:val="auto"/>
        </w:rPr>
        <w:t>;</w:t>
      </w:r>
    </w:p>
    <w:p>
      <w:pPr>
        <w:spacing w:after="0" w:line="227"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2.2.words importing the masculine gender only shall include the feminine gender;</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2.3.words importing persons only shall include companies or associations or bodies of persons, whether corporate or not;</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7"/>
          <w:szCs w:val="17"/>
          <w:color w:val="auto"/>
        </w:rPr>
        <w:t>the word “may” shall be construed as permissive and the word “shall” shall be construed as imperative;</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27" w:right="339" w:bottom="1440" w:gutter="0" w:footer="0" w:header="0"/>
          <w:type w:val="continuous"/>
        </w:sectPr>
      </w:pPr>
    </w:p>
    <w:bookmarkStart w:id="10" w:name="page11"/>
    <w:bookmarkEnd w:id="10"/>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word “written” and “in writing” include all modes of representing or reproducing words in a visible form, including in the form of an Electronic Record;</w:t>
      </w:r>
    </w:p>
    <w:p>
      <w:pPr>
        <w:spacing w:after="0" w:line="162"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any requirement as to the delivery under the Articles include delivery in the form of an Electronic Record or an electronic communication;</w:t>
      </w:r>
    </w:p>
    <w:p>
      <w:pPr>
        <w:spacing w:after="0" w:line="162"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Section 8 and 19(3) of the Electronic Transactions Act shall not apply;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a reference to an Article shall be to an Article of these Articles;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a reference to a dollar or dollars or US$ is a reference to United States dollars, the lawful currency of the United States of America; and</w:t>
      </w:r>
    </w:p>
    <w:p>
      <w:pPr>
        <w:spacing w:after="0" w:line="225" w:lineRule="exact"/>
        <w:rPr>
          <w:sz w:val="20"/>
          <w:szCs w:val="20"/>
          <w:color w:val="auto"/>
        </w:rPr>
      </w:pPr>
    </w:p>
    <w:p>
      <w:pPr>
        <w:jc w:val="center"/>
        <w:ind w:right="-39"/>
        <w:spacing w:after="0"/>
        <w:tabs>
          <w:tab w:leader="none" w:pos="26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a reference to a statutory enactment shall include reference to any amendment or re-enactment thereof for the time being in force.</w:t>
      </w:r>
    </w:p>
    <w:p>
      <w:pPr>
        <w:spacing w:after="0" w:line="225" w:lineRule="exact"/>
        <w:rPr>
          <w:sz w:val="20"/>
          <w:szCs w:val="20"/>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two preceding Articles, any words defined in the Companies Act shall, if not inconsistent with the subject or context, bear the same meaning in these Articles.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22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may be commenced as soon after incorporation as the Directors see fit.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such address in the Cayman Islands as the Directors shall from time to time determine. The Company may in addition establish and maintain such other offices and places of business and agencies in such places as the Directors may from time to time determine.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660" w:right="2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all Shares for the time being unissued shall be under the control of the Directors who may, in their absolute discretion and without the approval of the Members, cause the Company to:</w:t>
      </w:r>
    </w:p>
    <w:p>
      <w:pPr>
        <w:spacing w:after="0" w:line="161" w:lineRule="exact"/>
        <w:rPr>
          <w:rFonts w:ascii="Times New Roman" w:cs="Times New Roman" w:eastAsia="Times New Roman" w:hAnsi="Times New Roman"/>
          <w:sz w:val="18"/>
          <w:szCs w:val="18"/>
          <w:color w:val="auto"/>
        </w:rPr>
      </w:pPr>
    </w:p>
    <w:p>
      <w:pPr>
        <w:ind w:left="130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175" w:lineRule="exact"/>
        <w:rPr>
          <w:rFonts w:ascii="Times New Roman" w:cs="Times New Roman" w:eastAsia="Times New Roman" w:hAnsi="Times New Roman"/>
          <w:sz w:val="18"/>
          <w:szCs w:val="18"/>
          <w:color w:val="auto"/>
        </w:rPr>
      </w:pPr>
    </w:p>
    <w:p>
      <w:pPr>
        <w:ind w:left="1300" w:hanging="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8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17"/>
          <w:szCs w:val="17"/>
          <w:color w:val="auto"/>
        </w:rPr>
        <w:t>grant options with respect to Shares and issue warrants or similar instruments with respect thereto.</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authorise the division of Shares into any number of classes and the different 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an Ordinary Resolution. The Directors may issue Shares with such preferred or other rights, all or any of which may be greater than the rights of issued and outstanding Shares, at such time and on such terms as they may think appropriate. The Directors may issue from time to time, out of the authorised share capital of the Company (other than the authorised but unissued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and, for such purposes, the Directors may reserve an appropriate number of Shares for the time being unissued.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shares to bearer.</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so far as may be permitted by law, pay a commission to any person in consideration of his subscribing or agreeing to subscribe whether absolutely or conditionally for any shares. Such commissions may be satisfied by the payment of cash or the lodgement of fully or partly paid-up shares or partly in one way and partly in the other. The Company may also on any issue of shares pay such brokerage as may be lawful.</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keep or cause to be kept a Register of Members as required by Section 40 of the Companies Act at such place or places as the Directors may from time to time determine, and in the absence of any such determination, the Register of Members shall be kept at the Registered Office. The Company shall not be bound to register more than four persons as the joint holders of any share or shares.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 AND CLASS B ORDINARY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A Ordinary Shares and Class B Ordinary Shares shall at all times vote together as one class on all resolutions submitted to a vote by the Members. Each Class A Ordinary Share shall entitle the holder thereof to one vote on all matters subject to vote at general meetings of the Company and each Class B Ordinary Share shall entitle the holder thereof to one hundred votes on all matters subject to vote at general meetings of the Company.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Ordinary Share is convertible into one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Class B Ordinary Shares into Class A Ordinary Shares pursuant to these Articles shall be effected by means of the re-designation of each relevant Class B Ordinary Share as a Class A Ordinary Share. Such conversion shall become effective forthwith upon entries being made in the Register of Members to record the re-designation of the relevant Class B Ordinary Shares as Class A Ordinary Shares.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transfer, assignment or disposition of any Class B Ordinary Share by a Shareholder to any person or entity which is not an Affiliate of such holder, or upon a change of ultimate beneficial ownership of any Class B Ordinary Share to any person or entity which is not an Affiliate of such holder, such Class B Ordinary Share shall be automatically and immediately converted into one Class A Ordinary Share. For the avoidance of doubt, (i) a sale, transfer, assignment or disposition shall be effective upon the Company’s registration of such sale, transfer, assignment or disposition in its Register of Members; and (ii) the creation of any pledge, charge, encumbrance or other third party right of whatever description on any Class B Ordinary Shares to secure a holder’s contractual or legal obligations shall not be deemed as a sale, transfer, assignment or disposition unless and until any such pledge, charge, encumbrance or other third party right is enforced and results in the third party holding legal title to the relevant Class B Ordinary Shares, in which case all the related Class B Ordinary Shares shall be automatically converted into the same number of Class A Ordinary Shares. For purpose of this Article, beneficial ownership shall have the meaning set forth in Rule 13d-3 under the Exchange Act.</w:t>
      </w:r>
    </w:p>
    <w:p>
      <w:pPr>
        <w:spacing w:after="0" w:line="19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Save and except for voting rights and conversion rights as set out in Articles 11 to 14 (inclusive), the Class A Ordinary Shares and the Class B Ordinary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one another and shall have the same rights, preferences, privileges and restrictions.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fractions of a share up to such number of decimal places as they shall determine of any class or series of shares, and, if so issued, a fraction of a share (calculated to three decimal points) shall be subject to and carry the corresponding fraction of liabilities (whether with respect to any unpaid amount thereon, contribution, calls or otherwise), limitations, preferences, privileges, qualifications, restrictions, rights (including, without limitation, voting and participation rights) and other attributes of a whole share of the same class or series of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REDEMPTION AND SURRENDER OF SHARES</w:t>
      </w:r>
    </w:p>
    <w:p>
      <w:pPr>
        <w:spacing w:after="0" w:line="22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and without prejudice to the Memorandum and Articles, the Company may:</w:t>
      </w:r>
    </w:p>
    <w:p>
      <w:pPr>
        <w:spacing w:after="0" w:line="225" w:lineRule="exact"/>
        <w:rPr>
          <w:rFonts w:ascii="Times New Roman" w:cs="Times New Roman" w:eastAsia="Times New Roman" w:hAnsi="Times New Roman"/>
          <w:sz w:val="18"/>
          <w:szCs w:val="18"/>
          <w:color w:val="auto"/>
        </w:rPr>
      </w:pPr>
    </w:p>
    <w:p>
      <w:pPr>
        <w:ind w:left="130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 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Special Resolution;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purchase its own Shares (including any redeemable Shares) on such terms and in such manner and terms as have been approved by the Board or by Ordinary Resolution, or are otherwise authorised by these Articles; and</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make a payment in respect of the redemption or purchase of its own Shares in any manner permitted by the Companies Act, including out of capital.</w:t>
      </w:r>
    </w:p>
    <w:p>
      <w:pPr>
        <w:spacing w:after="0" w:line="162" w:lineRule="exact"/>
        <w:rPr>
          <w:sz w:val="20"/>
          <w:szCs w:val="20"/>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accept the surrender for no consideration of any fully paid share.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prior to the purchase, redemption or surrender of any Share, determine that such Share shall be held as a Treasury Share.</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VARIATION OF RIGHTS ATTACHING TO SHARES</w:t>
      </w:r>
    </w:p>
    <w:p>
      <w:pPr>
        <w:spacing w:after="0" w:line="229" w:lineRule="exact"/>
        <w:rPr>
          <w:sz w:val="20"/>
          <w:szCs w:val="20"/>
          <w:color w:val="auto"/>
        </w:rPr>
      </w:pPr>
    </w:p>
    <w:p>
      <w:pPr>
        <w:jc w:val="both"/>
        <w:ind w:left="660" w:hanging="652"/>
        <w:spacing w:after="0" w:line="25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attaching to any class or series of share (unless otherwise provided by these Articles or the terms of issue of the shares of that class or series) may be materially adversely varied or abrogated with the consent in writing of the holders of two-thirds of the issued shares of that class or series, or with the sanction of a resolution passed by at least a two-thirds majority of the holders of shares of the class or series present in person or by proxy and entitled to vote at a separate meeting of the holders of the shares of the class or series. To every such separate general meeting the provisions of these Articles relating to general meetings of the Company shall mutatis mutandis apply, but so that the necessary quorum shall, unless otherwise provided by these Articles, be one or more persons holding or representing by proxy at least one-third of the issued and outstanding voting shares of the class or series and that any holder of shares of the class or series present in person or by proxy may demand a poll.</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special rights conferred upon the holders of shares of any class shall not, unless otherwise expressly provided in the rights attaching to or the terms of issue of such shares, be deemed to be materially adversely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 or subsequent to them or the redemption or purchase of any share of any class by the Company. The rights attached to or otherwise conferred upon the holders of the Shares of any class shall not be deemed to be materially adversely varied by the creation or issue of Shares with preferred or other rights in accordance with Article 7.</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CERTIFICATES FOR SHARES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shall only be entitled to a share certificate if the Directors resolve that share certificates shall be issued and the Shareholder requests a share certificate in writing from the Company. Share certificates representing shares, if any, shall be in such form as the Directors may determine. Share certificates shall be signed by one or more Directors or another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by the applicable laws, including the Securities Act and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on delivery up of the old certificate.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priority lien and charge on every partly paid share for all moneys (whether presently payable or not) called or payable at a fixed time in respect of that share, and the Company shall also have a first priority lien and charge on all partly paid shares standing registered in the name of a Shareholder (whether held solely or jointly with another person) for all moneys presently payable by him or his estate to the Company, but the Directors may at any time declare any share to be wholly or in part exempt from the provisions of this Article. The Company’s lien, if any, on a share shall extend to all distributions payable thereon.</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in their sole and absolute discretion think fit, any shares on which the Company has a lien, but no sale shall be made unless an amount in respect of which the lien exists is presently payable nor until the expiration of 14 days after a notice in writing, stating and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179"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after deduction of expenses, fees and commission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make calls upon the Shareholders in respect of any moneys unpaid on their partly paid shares, and each Shareholder shall (subject to receiving at least 14 days’ notice specifying the time or times of payment) pay to the Company at the time or times so specified the amount called on such shares.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at such rate per annum as the Directors shall determine from the day appointed for the payment thereof to the time of the actual payment, but the Directors shall be at liberty to waive payment of that interest wholly or in part.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on the issue of partly paid shares for a difference between the Shareholders, or the particular shares, in the amount of calls to be paid and in the times of payment.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as may be agreed upon between the Shareholder paying the sum in advance and the Directors.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14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the amount unpaid on the shares forfeited.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statutory declaration in writing that the declarant is a Director, and that a share has been duly forfeited on a date stated in the declaration, shall be conclusive evidence of the facts in the notice as against all persons claiming to be entitled to the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 be affected by any irregularity or invalidity in the proceedings in reference to the disposition or sale.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in any usual or common form or such other form as the Directors may, in their absolute discretion, approve and be executed by or on behalf of the transferor and if in respect of a nil or partly paid up share, if so required by the Directors, shall also be executed on behalf of the transferee and shall be accompanied by such evidence as the Directors may reasonably require to show the right of the transferor to make the transfer. The transferor shall be deemed to remain a holder of the share until the name of the transferee is entered in the Register of Members in respect thereof.</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in their absolute discretion, decline to register any transfer of share that is not fully paid up or on which the Company has a lien. The Directors may also decline to register any Share unless:</w:t>
      </w:r>
    </w:p>
    <w:p>
      <w:pPr>
        <w:spacing w:after="0" w:line="161"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47.1. the instrument of transfer is lodged with the Company, accompanied by the certificate for the Shares to which it relates and such other evidence as the Board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47.2.    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47.3.    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47.4.    in the case of a transfer to joint holders, the number of joint holders to whom the Share is to be transferred does not exceed four; and</w:t>
      </w:r>
    </w:p>
    <w:p>
      <w:pPr>
        <w:spacing w:after="0" w:line="225"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 a fee of such maximum sum as the Designated Stock Exchange may determine to be payable, or such lesser sum as the Board of Directors may from time to time require, is paid to the Company in respect thereof.</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refuse to register a transfer of any shares, they shall, within six weeks after the date on which the transfer was lodged with the Company, send notice of the refusal to each of the transferor and the transferee.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may, on ten days’ notice being given by advertisement in such one or more newspapers, by electronic means or by any other means in accordance with the Designated Stock Exchange Rules, be suspended and the Register of Members closed at such times and for such periods as the Directors may, in their absolute discretion, from time to time determine, provided always that such registration of transfer shall not be suspended nor the Register closed for more than 30 days in any calendar year.</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which are registered shall be retained by the Company, but any instrument of transfer which the Directors decline to register shall (except in any case of fraud) be returned to the person depositing the same.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personal representative of a deceased sole holder of a share shall be the only person recognised by the Company as having any title to the share. In the case of a share registered in the name of two or more holders, the survivor or survivors of the deceased, or the legal personal representatives of the deceased, shall be the only person or persons recognised by the Company as having any title to the share.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Shareholder in respect of the share, be entitled, in respect of it, to exercise any right conferred by membership in relation to meetings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EMPOWERING INSTRUMENTS</w:t>
      </w:r>
    </w:p>
    <w:p>
      <w:pPr>
        <w:spacing w:after="0" w:line="229" w:lineRule="exact"/>
        <w:rPr>
          <w:sz w:val="20"/>
          <w:szCs w:val="20"/>
          <w:color w:val="auto"/>
        </w:rPr>
      </w:pPr>
    </w:p>
    <w:p>
      <w:pPr>
        <w:ind w:left="660" w:right="2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US$1.00 on the registration of every probate, letters of administration, certificate of death or marriage, power of attorney, notice in lieu of distringas, or other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ALTERATION OF SHARE CAPITAL</w:t>
      </w:r>
    </w:p>
    <w:p>
      <w:pPr>
        <w:spacing w:after="0" w:line="229" w:lineRule="exact"/>
        <w:rPr>
          <w:sz w:val="20"/>
          <w:szCs w:val="20"/>
          <w:color w:val="auto"/>
        </w:rPr>
      </w:pPr>
    </w:p>
    <w:p>
      <w:pPr>
        <w:ind w:left="660" w:right="2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Ordinary Resolution increase the share capital by such sum, to be divided into shares of such classes or series and amount, as the resolution shall prescribe.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56.1.    consolidate and divide all or any of its share capital into shares of a larger amount than its existing shares;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56.2.    convert all or any of its paid up shares into stock and reconvert that stock into paid up shares of any denomination;</w:t>
      </w:r>
    </w:p>
    <w:p>
      <w:pPr>
        <w:spacing w:after="0" w:line="225" w:lineRule="exact"/>
        <w:rPr>
          <w:rFonts w:ascii="Times New Roman" w:cs="Times New Roman" w:eastAsia="Times New Roman" w:hAnsi="Times New Roman"/>
          <w:sz w:val="18"/>
          <w:szCs w:val="18"/>
          <w:color w:val="auto"/>
        </w:rPr>
      </w:pPr>
    </w:p>
    <w:p>
      <w:pPr>
        <w:ind w:left="130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56.3. 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56.4. cancel any shares which, at the date of the passing of the resolution, have not been taken or agreed to be taken by any person and diminish the amount of its share capital by the amount of the shares so cancelled.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authorised by law.</w:t>
      </w:r>
    </w:p>
    <w:p>
      <w:pPr>
        <w:spacing w:after="0" w:line="221" w:lineRule="exact"/>
        <w:rPr>
          <w:rFonts w:ascii="Times New Roman" w:cs="Times New Roman" w:eastAsia="Times New Roman" w:hAnsi="Times New Roman"/>
          <w:sz w:val="18"/>
          <w:szCs w:val="18"/>
          <w:color w:val="auto"/>
        </w:rPr>
      </w:pPr>
    </w:p>
    <w:p>
      <w:pPr>
        <w:ind w:left="2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22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Shareholders for any other purpose, the Directors may provide that the Register of Members shall be closed for transfers for a stated period which shall not exceed in any case 45 days. If the Register of Members shall be so closed for the purpose of determining those Shareholders that are entitled to receive notice of, attend or vote at a meeting of Shareholders the Register of Members shall be so closed for at least ten days immediately preceding such meeting and the record date for such determination shall be the date of the closure of the Register of Members.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of Members,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90 days prior to the date of declaration of such dividend fix a subsequent date as the record date for such determination.</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of Members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whenever they think fit, convene a general meeting of the Company. The Company may (but shall not be obliged to, unless required by the Companies Act or by Designated Stock Exchange Rules that the Company chooses to follow in lieu of home country practices) in each calendar year hold a general meeting as its annual general meeting and shall specify the meeting as such in the notices calling it. All general meetings other than annual general meetings shall be called extraordinary general meetings.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meetings shall also be convened on the written requisition of any Shareholder or Shareholders entitled to attend and vote at general meetings of the Company who hold not less than 10% of the paid up voting share capital of the Company deposited at the Registered Office specifying the objects of the meeting for a date no later than 21 days from the date of deposit of the requisition signed by the requisitionists, and if the Directors do not convene such meeting for a date not later than 45 days after the date of such deposit, the requisitionists themselves may convene the general meeting in the same manner, as nearly as possible, as that in which general meetings may be convened by the Directors, and all reasonable expenses incurred by the requisitionists as a result of the failure of the Directors to convene the general meeting shall be reimbursed to them by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660" w:hanging="652"/>
        <w:spacing w:after="0" w:line="25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ten days’ notice of a general meeting excluding the day service is deemed to take place as provided in these Articles but including the day of the meeting specifying the place (except in the case of a Virtual Meeting), the day and the hour of the meeting and, in case of special business, the general nature of that business, shall be given in the manner hereinafter provided or in such other manner (if any) as may be prescribed by the Company by Ordinary Resolution to such persons as are, under these Articles, entitled to receive such notices from the Company. The accidental omission to give notice of a meeting to or the non-receipt of a notice of a meeting by any Shareholder shall not invalidate the proceedings at any meeting. Notwithstanding that a meeting of the Company is called by shorter notice, it shall be deemed to have been duly called if it is so agreed:</w:t>
      </w:r>
    </w:p>
    <w:p>
      <w:pPr>
        <w:spacing w:after="0" w:line="18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63.1.    in the case of a meeting called as an annual general meeting, by all the members entitled to attend and vote thereat or their proxies; and</w:t>
      </w:r>
    </w:p>
    <w:p>
      <w:pPr>
        <w:spacing w:after="0" w:line="225" w:lineRule="exact"/>
        <w:rPr>
          <w:rFonts w:ascii="Times New Roman" w:cs="Times New Roman" w:eastAsia="Times New Roman" w:hAnsi="Times New Roman"/>
          <w:sz w:val="18"/>
          <w:szCs w:val="18"/>
          <w:color w:val="auto"/>
        </w:rPr>
      </w:pPr>
    </w:p>
    <w:p>
      <w:pPr>
        <w:ind w:left="1300" w:right="2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63.2. in the case of any other meeting, by a majority in number of the members having a right to attend and vote at the meeting, being a majority together holding not less than 95% in nominal value of the Shares giving that right.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present at any meeting of the Company shall for all purposes be deemed to have received due notice of such meeting and, where requisite, of the purposes for which such meeting was convened.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 carried out at a general meeting shall be deemed special with the exception of sanctioning a dividend, the consideration of the accounts, balance sheets, and any report of the Directors or of the Auditors and the fixing of the remuneration of the Auditors. No special business shall be transacted at any general meeting without the consent of all Shareholders entitled to receive notice of that meeting unless notice of such special business has been given in the notice convening that meeting.</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except for the appointment of a chairman for the meeting shall be transacted at any general meeting unless a quorum of Shareholders is present at the time when the meeting proceeds to business. One or more Shareholders holding at least one-third of all votes attached to all outstanding voting Shares in issue and entitled to attend and vote at such general meeting present in person or by proxy shall be a quorum.</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is not present, the meeting, if convened upon the requisition of Shareholders, shall be dissolved. In any other case it shall stand adjourned to the same day in the next week, at the same time and place, and if at the adjourned meeting a quorum is not present within half an hour from the time appointed for the meeting the Shareholder or Shareholders present and entitled to vote shall be a quorum.</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wish to make this facility available to Shareholders for a specific or all general meetings of the Company, a Shareholder who is entitled to participate in any specific or general meeting of the Company, may participate by means of telephone or similar communication equipment by way of which all persons participating in such meeting can hear each other and such participation shall be deemed to constitute presence in person at the meeting. Without limiting the generality of the foregoing, the Directors may determine that any general meeting may be held as a Virtual Meeting. The notice of any general meeting at which Communications Facilities may be utilized (including any Virtual Meeting) must disclose the Communications Facilities that will be used, including the procedures to be followed by any Shareholder or other participant of the meeting who wishes to utilize such Communications Facilities for the purposes of attending and participating in such meeting, including attending and casting any vote thereat.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of the Board of Directors shall preside as chairman at every general meeting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any general meeting shall be entitled to attend and participate at any such general meeting by means of Communications Facilities, and to act as the chairman of such general meeting, in which if the Communications Facilities are interrupted or fail for any reason to enable the chairman of the meeting to hear and be heard by all other persons participating in the meeting, then the other Directors present at the meeting shall choose another Director present to act as chairman of the meeting for the remainder of the meeting; provided that if no other Director is present at the meeting, or if all the Directors present decline to take the chair, then the meeting shall be automatically adjourned to the same day in the next week and at such time and place as shall be decided by the Board.</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chairman, or if at any general meeting he is not present within 15 minutes after the time appointed for holding the meeting or is unwilling to act as chairman, the Shareholders present shall choose one of their number to be chairman of that meeting.</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may, with the consent of any general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is adjourned for 14 days or more, notice of the adjourned meeting shall be given as in the case of an original meeting. Save as aforesaid it shall not be necessary to give any notice of an adjournment or of the business to be transacted at an adjourned meeting.</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a poll is (before or on the declaration of the result of the show of hands) demanded by the chairman of the meeting or one or more Shareholders present in person or by proxy entitled to vote,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it shall be taken in such manner as the chairman directs, and the result of the poll shall be deemed to be the resolution of the meeting at which the poll was demanded.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equality of votes, whether on a show of hands or on a poll, the chairman of the meeting at which the show of hands takes place or at which the poll is demanded, shall have a second or casting vote.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of the meeting or on a question of adjournment shall be taken forthwith. A poll demanded on any other question shall be taken at such time as the chairman of the meeting directs.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VOTES OF SHAREHOLDERS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 on a show of hands every Shareholder present in person or by proxy (or, if a corporation or other non-natural person, by its duly authorised representative or proxy) shall, at a general meeting of the Company, each have one vote and on a poll every Shareholder present in person or by proxy (or, if a corporation or other non-natural person, by its duly authorised representative or proxy) shall have one vote for each Class A Ordinary Share and one hundred votes for each Class B Ordinary Share of which he is the holder.</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who tenders a vote whether in person or by proxy shall be accepted to the exclusion of the votes of the joint holders and for this purpose seniority shall be determined by the order in which the names stand in the Register of Members.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of unsound mind, or in respect of whom an order has been made by any court having jurisdiction in lunacy, may vote, whether on a show of hands or on a poll, by his committee, or other person in the nature of a committee appointed by that court, and any such committee or other person, may vote by proxy.</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who are entitled to vote at a general meeting shall not be entitled to vote at any general meeting unless all calls or other sums presently payable by him in respect of shares carrying the right to vote held by him have been paid.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left="660" w:hanging="652"/>
        <w:spacing w:after="0" w:line="25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 Each Shareholder, other than a recognised clearing house (or its nominee(s)) or depositary (or its nominee(s)), may only appoint one proxy on a show of hand. Every Shareholder who is entitled to vote at a general meeting and every person representing such a Shareholder as proxy shall have one vote for each share of which such Shareholder or the Shareholder represented by the proxy is the holder. On a poll, a shareholder or proxy appointed by the shareholder entitled to more than one vote is under no obligation to cast all his votes in the same way.</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in writing under the hand of the appointor or of his attorney duly authorised in writing or, if the appointor is a corporation, either under seal or under the hand of an officer or attorney duly authorised. A proxy need not be a Shareholder.</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appointing a proxy may be in any usual or common form or such other form as the Directors may approve.</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61" w:lineRule="exact"/>
        <w:rPr>
          <w:rFonts w:ascii="Times New Roman" w:cs="Times New Roman" w:eastAsia="Times New Roman" w:hAnsi="Times New Roman"/>
          <w:sz w:val="18"/>
          <w:szCs w:val="18"/>
          <w:color w:val="auto"/>
        </w:rPr>
      </w:pPr>
    </w:p>
    <w:p>
      <w:pPr>
        <w:ind w:left="1300" w:right="2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84.1. not less than 48 hours before the time for holding the meeting or adjourned meeting at which the person named in the instrument proposes to vote;</w:t>
      </w:r>
    </w:p>
    <w:p>
      <w:pPr>
        <w:spacing w:after="0" w:line="161"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 in the case of a poll taken more than 48 hours after it is demanded, be deposited as aforesaid after the poll has been demanded and not less than 24 hours before the time appointed for the taking of the poll; or</w:t>
      </w:r>
    </w:p>
    <w:p>
      <w:pPr>
        <w:spacing w:after="0" w:line="161"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84.3. where the poll is not taken forthwith but is taken not more than 48 hours after it was demanded be delivered at the meeting at which the poll was demanded to the chairman or to the secretary or to any director,</w:t>
      </w:r>
    </w:p>
    <w:p>
      <w:pPr>
        <w:spacing w:after="0" w:line="161"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chairman may in any event at his discretion direct that an instrument of proxy shall be deemed to have been duly deposited. An instrument of proxy that is not deposited in the manner permitted shall be invalid.</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deemed to confer authority to demand or join in demanding a poll.</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Shareholders for the time being entitled to receive notice of and to attend and vote at general meetings (or being corporations by their duly authorised representatives) shall be as valid and effective as if the same had been passed at a general meeting of the Company duly convened and held. Any such resolution may consist of several documents in the like form signed by one or more of the Shareholders.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 AT MEETINGS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Shareholder or a Director may by resolution of its directors or other governing body authorise such person as it thinks fit to act as its representative at any meeting of the Company or of any class of Shareholders or of the Board of Directors or of a committee of Directors, and the person so authorised shall be entitled to exercise the same powers on behalf of the corporation which he represents as that corporation could exercise if it were an individual Shareholders or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AND CLEARING HOUSES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recognised clearing house (or its nominee(s)) or depositary (or its nominee(s)) is a Member of the Company it may, by resolution of its directors or other governing body or by power of attorney, authorise such person(s) as it thinks fit to act as its representative(s) at any general meeting of the Company or of any class of Shareholders provided that, if more than one person is so authorised, the authorisation shall specify the number and class of Shares in respect of which each such person is so authorised. A person so authorised pursuant to this Article shall be entitled to exercise the same powers on behalf of the recognised clearing house (or its nominee(s)) or depositary (or its nominee(s)) which he represents as that recognised clearing house (or its nominee(s)) or depositary (or its nominee(s)) could exercise if it were an individual Member holding the number and class of Shares specified in such authorisation, including the right to vote individually on a show of hands.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left="660" w:right="2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have the power at any time, and from time to time, to appoint a person as an additional Director or persons as additional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Company in general meeting, the number of Directors shall not be less than three (or such minimum number as may be required from time to time by any Designated Stock Exchange Rules). The Company may by Ordinary Resolution remove a Director at any time and may by Ordinary Resolution appoint another person in his stead. A vacancy on the Board created by the removal of a Director may be filled by Ordinary Resolution or the affirmative vote of a simple majority of the remaining Directors present and voting at a Board meeting. The notice of any meeting at which a resolution to remove a Director shall be proposed or voted upon must contain a statement of the intention to remove that Director and such notice must be served on that Director not less than ten days before the meeting. Such Director is entitled to attend the meeting and be heard on the motion for his removal.</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the Directors and any officers of the Company shall from time to time be determined by the Directors or by Ordinary Resolution.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shareholding qualification for Directors unless determined otherwise by the Company by Ordinary Resolution.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casual vacancy occurring in the Board of Directors may be filled by the Directors.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not be required to retire by rotation.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ALTERNATE DIRECTOR</w:t>
      </w:r>
    </w:p>
    <w:p>
      <w:pPr>
        <w:spacing w:after="0" w:line="229" w:lineRule="exact"/>
        <w:rPr>
          <w:sz w:val="20"/>
          <w:szCs w:val="20"/>
          <w:color w:val="auto"/>
        </w:rPr>
      </w:pPr>
    </w:p>
    <w:p>
      <w:pPr>
        <w:jc w:val="both"/>
        <w:ind w:left="660" w:hanging="652"/>
        <w:spacing w:after="0" w:line="25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in writing appoint another person to be his alternate to act in his place at any meeting of the Directors at which he is unable to be present. Every such alternate shall be entitled to notice of meetings of the Directors and to attend and vote thereat as a Director when the person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not be an officer of the Company and shall be deemed to be the agent of the Director appointing him. The remuneration of such alternate shall be payable out of the remuneration of the Director appointing him and the proportion thereof shall be agreed between them.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these Articles, and to any resolutions made in a general meeting, the business of the Company shall be managed by the Directors, who may pay all expenses incurred in setting up and registering the Company and may exercise all powers of the Company. No resolution made by the Company in general meeting shall invalidate any prior act of the Directors which would have been valid if that resolution had not been made.</w:t>
      </w:r>
    </w:p>
    <w:p>
      <w:pPr>
        <w:spacing w:after="0" w:line="179"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uncalled capital or any part thereof and to issue debentures, debenture stock, mortgages, bonds and other such securities whether outright or as security for any debt, liability or obligation of the Company or of any third party.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appoint any person, whether or not a Director, to hold such office in the Company as the Directors may think necessary for the administration of the Company, including but not limited to, the office of president, one or more vice-presidents, treasurer, assistant treasurer, manager or controller, and for such term, and with such powers and duties as the Directors may think fit. The Directors may also appoint one or more of their number to the office of managing director upon like terms, but any such appointment shall ipso facto determine if any managing director ceases from any cause to be a Director, or if the Company by Ordinary Resolution resolves that his tenure of office be terminated.</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66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 (not exceeding those vested in or exercisable by the Directors under these Articles)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delegate all or any of the powers, authorities and discretion vested in him.</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establish any committees or local boards for managing any of the affairs of the Company and may appoint any persons to be members of such committees or local boards and may appoint any managers or agents of the Company and may fix the remuneration of any such persons.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committee or local board, or any of them to fill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delegates as aforesaid may be authorised by the Directors to sub-delegate all or any of the powers, authorities, and discretion for the time being vested in them.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229"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Director shall be vacated, if the Director:</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   becomes prohibited by law from being a Director;</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106.2.   becomes bankrupt or makes any arrangement or composition with his creditors;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106.3.   dies or is found to be or becomes of unsound mind;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106.4.   resigns his office by notice in writing to the Company;</w:t>
      </w:r>
    </w:p>
    <w:p>
      <w:pPr>
        <w:spacing w:after="0" w:line="225"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106.5. without special leave of absence from the Board, is absent from meetings of the Board for three consecutive meetings and the Board resolves that his office be vacated; or</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106.6.   is removed from office by Ordinary Resolution.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meet together (either within or without the Cayman Islands) for the despatch of business, adjourn, and otherwise regulate their meetings and proceedings as they think fit. Questions arising at any meeting shall be decided by a majority of votes. In case of an equality of votes the chairman shall have a second or casting vote. A Director may, and the Secretary or assistant secretary on the requisition of a Director shall, at any time summon a meeting of the Directors.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Directors may participate in any meeting of the Board of Directors, or of any committee appointed by the Board of Directors of which such Director or Directors are members, by means of telephone or similar communication equipment by way of which all persons participating in such meeting can hear each other and such participation shall be deemed to constitute presence in person at the meeting. Every Director may be reimbursed for travel, hotel and other expenses incurred by him in attending meetings of the Directors, any committee of the Directors or general meetings of the Company or in connection with the business of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66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Directors may be fixed by the Directors, and unless so fixed, if there be two or more Directors, the quorum shall be two, and if there be one Director the quorum shall be one. A Director represented by proxy or by an alternate Director at any meeting shall be deemed to be present for the purposes of determining whether or not a quorum is present.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in any way, whether directly or indirectly, interested in a contract or proposed contract with the Company shall declare the nature of his interest at a meeting of the Directors. A general notice given to the Board of Directors by any Director to the effect that he is a member of any specified company or firm and is to be regarded as interested in any contract which may thereafter be made with that company or firm shall be deemed a sufficient declaration of interest in regard to any contract so made. Subject to the Designated Stock Exchange Rules,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relationship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act by himself or his firm in a professional capacity for the Company, but he or his firm shall not be entitled to any remuneration for such professional services as if he were not a Director; provided that nothing herein contained shall authorise a Director or his firm to act as auditors to the Company.</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in books provided for the purpose of recording:</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114.1.   all appointments of officers made by the Directors;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114.2.   the names of the Directors present at each meeting of the Directors and of any committee of the Directors; and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114.3.   all resolutions and proceedings at all meetings of the Company, and of the Directors and of committees of Directors.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chairman of a meeting of the Directors signs the minutes of such meeting those minutes shall be deemed to have been duly held notwithstanding that all the Directors have not actually come together or that there may have been a technical defect in the proceedings.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signed by all the Directors shall be as valid and effectual as if it had been passed at a meeting of the Directors duly called and constituted. Any such resolution may consist of several documents in the like form signed by one or more of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elect a chairman of their meetings and determine the period for which he is to hold office but if no such chairman is elected, or if at any meeting the chairman is not present within fifteen minutes after the time appointed for holding the meeting, the Directors present may choose one of their number to be chairman of the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left="66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elect a chairman of its meetings. If no such chairman is elected, or if at any meeting the chairman is not present within five minutes after the time appointed for holding the meeting, the members present may choose one of their number to be chairman of the meeting.</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meet and adjourn as it thinks proper. Questions arising at any meeting shall be determined by a majority of votes of the committee members present and in case of an equality of votes the chairman shall have a second or casting vote.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SEAL AND DEEDS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Seal shall not be affixed to any instrument except by the authority of a resolution of the Board of Directors provided always that such authority may be given prior to or after the affixing of the Seal and if given after may be in general form confirming a number of affixing of the Seal. The Seal shall be affixed in the presence of a Director or the Secretary (or an assistant secretary) or in the presence of any one or more persons as the Directors may appoint for the purpose and every person as aforesaid shall sign every instrument to which the Seal is so affixed in their presence.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maintain a facsimile of the Seal in such countries or places as the Directors may appoint and such facsimile Seal shall not be affixed to any instrument except by the authority of a resolution of the Board of Directors provided always that such authority may be given prior to or after the affixing of such facsimile Seal and if given after may be in general form confirming a number of affixing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the Secretary (or an assistant secretary) or in the presence of any one or more persons as the Directors may appoint for the purpose.</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execute any deed or other instrument which would otherwise be required to be executed under Seal by the signature of such deed or instrument as a deed by a Director, the Secretary (or an assistant secretary) or any one or more persons as the Directors may appoint for the purpose.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class or series of shares, the Directors may from time to time declare dividends (including interim dividends) and other distributions on shares in issue and authorise payment of the same out of the funds of the Company lawfully available therefor.</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class or series of shares, the Company by Ordinary Resolution may declare dividends, but no dividend shall exceed the amount recommended by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equalising dividends or for any other purpose to which those funds may be properly applied and pending such application may, in the absolute discretion of the Directors, either be employed in the business of the Company or be invested in such investments (other than shares) as the Directors may from time to time think fit.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may be paid by cheque sent through the post to the registered address of the Shareholder or person entitled thereto, or in the case of joint holders, to any one of such joint holders at his registered address or to such person and such address as the Shareholder or person entitled, or such joint holders as the case may be, may direct. Every such cheque shall be made payable to the order of the person to whom it is sent or to the order of such other person as the Shareholder or person entitled, or such joint holders as the case may be, may direct.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when paying dividends to the Shareholders in accordance with the provisions of these Articles may make such payment either in cash or in specie.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class or classes of shares, all dividends shall be declared and paid according to the amount paid on the shares, but if and so long as nothing is paid up on any of the share dividends may be declared and paid according to the par value of the shares. No amount paid on a share in advance of calls shall, while carrying interest, be treated for the purposes of this Article as paid on the share.</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effectual receipts for any dividend or other moneys payable on or in respect of the share.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bear interest against the Company.</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unclaimed after a period of six years from the date of declaration of such dividend shall be automatically forfeited and shall revert to the Company and shall be applied to the class or series of shares in relation to which the dividend relates.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ACCOUNTS AND AUDIT</w:t>
      </w:r>
    </w:p>
    <w:p>
      <w:pPr>
        <w:spacing w:after="0" w:line="229"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relating to the Company’s affairs shall be kept in such manner as may be determined from time to time by the Directors.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the registered office of the Company, or at such other place or places as the Directors think fit, and shall always be open to the inspection of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of inspecting any account or book or document of the Company except as conferred by law, Designated Stock Exchange Rules or authorised by the Directors or by the Company by Ordinary Resolution.</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appoint Auditors but shall not be required to do so, unless required by the Companies Act or Designated Stock Exchange Rules, and if the Company appoints Auditors the Company’s accounts shall be audited in such manner as may be determined from time to time by the Company by Special Resolution or failing such determination by the Directors. The Auditors shall be appointed in general meeting or failing which by the Directors.</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PREMIUM ACCOUNT</w:t>
      </w:r>
    </w:p>
    <w:p>
      <w:pPr>
        <w:spacing w:after="0" w:line="229" w:lineRule="exact"/>
        <w:rPr>
          <w:sz w:val="20"/>
          <w:szCs w:val="20"/>
          <w:color w:val="auto"/>
        </w:rPr>
      </w:pPr>
    </w:p>
    <w:p>
      <w:pPr>
        <w:ind w:left="66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in accordance with Section 34 of the Companies Act establish a share premium account and shall carry to the credit of such account from time to time a sum equal to the amount or value of the premium paid on the issue of any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Section 37 of the Companies Act, out of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CAPITALISATION OF RESERVES</w:t>
      </w:r>
    </w:p>
    <w:p>
      <w:pPr>
        <w:spacing w:after="0" w:line="229" w:lineRule="exact"/>
        <w:rPr>
          <w:sz w:val="20"/>
          <w:szCs w:val="20"/>
          <w:color w:val="auto"/>
        </w:rPr>
      </w:pPr>
    </w:p>
    <w:p>
      <w:pPr>
        <w:jc w:val="both"/>
        <w:ind w:left="660" w:hanging="652"/>
        <w:spacing w:after="0" w:line="25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necessary sanction or authority being obtained the Company in general meeting may at any time and from time to time pass a resolution that any sum not required for the payment or provision of a fixed dividend with or without further participation in profits and (a) for the time being standing to the credit of any reserve fund of the Company including without limitation the share premium account or (b) being undivided profits in the hands of the Company be capitalised and that such sum be appropriated as capital to and amongst the members in the shares and proportions in which they would have been entitled thereto if the same had been distributed by way of dividend and in such manner as the resolution may direct and the Directors shall in accordance with such resolution apply such sum in paying up in full or in part any unissued shares or debentures of the Company on behalf of such members and appropriate such shares or debentures to and distribute the same credited as fully paid up or partly paid up amongst them in the proportions aforesaid in satisfaction of their shares and interests in the said capitalised sum or shall apply such sum or any part thereof on behalf of such members in paying up the whole or part of any uncalled balance which shall for the time being be unpaid in respect of any issued shares or debentures held by them. Where any difficulty arises in respect of any such distribution the Directors may settle the same as they think expedient and in particular they may fix the value for distribution of any fully paid up shares or debentures make cash payments to any members on the footing of the value so fixed in order to adjust rights and vest any such shares or debentures in trustees upon such trusts for or for the benefit of the persons entitled to share in the appropriation and distribution as may seem just and expedient to the Directors.</w:t>
      </w:r>
    </w:p>
    <w:p>
      <w:pPr>
        <w:spacing w:after="0" w:line="19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and subject to the Companies Act, the Directors may resolve to capitalise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spacing w:after="0" w:line="175" w:lineRule="exact"/>
        <w:rPr>
          <w:rFonts w:ascii="Times New Roman" w:cs="Times New Roman" w:eastAsia="Times New Roman" w:hAnsi="Times New Roman"/>
          <w:sz w:val="18"/>
          <w:szCs w:val="18"/>
          <w:color w:val="auto"/>
        </w:rPr>
      </w:pPr>
    </w:p>
    <w:p>
      <w:pPr>
        <w:ind w:left="1300" w:right="2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143.1. employees,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 or</w:t>
      </w:r>
    </w:p>
    <w:p>
      <w:pPr>
        <w:spacing w:after="0" w:line="175" w:lineRule="exact"/>
        <w:rPr>
          <w:rFonts w:ascii="Times New Roman" w:cs="Times New Roman" w:eastAsia="Times New Roman" w:hAnsi="Times New Roman"/>
          <w:sz w:val="18"/>
          <w:szCs w:val="18"/>
          <w:color w:val="auto"/>
        </w:rPr>
      </w:pPr>
    </w:p>
    <w:p>
      <w:pPr>
        <w:ind w:left="130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143.2. 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may be served by the Company or by the person entitled to give notice to any Shareholder either personally, by facsimile, by email or by sending it through the post in a prepaid letter or via a recognised courier service, fees prepaid, addressed to the Shareholder at his address as appearing in the Register of Members. In the case of joint holders of a share, all notices shall be given to that one of the joint holders whose name stands first in the Register of Members in respect of the joint holding, and notice so given shall be sufficient notice to all the joint holders. Notice may also be served by electronic communication in accordance with the rules and regulations of the Designated Stock Exchange, the Commission and/or any other competent regulatory authority or by placing it on the Company’s Website should the Directors deem it appropriate provided that the Company shall notify the Shareholders of the placement of such notice by any of the means set out above.</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present, either personally or by proxy, at any meeting of the Company shall for all purposes be deemed to have received due notice of such meeting and, where requisite, of the purposes for which such meeting was convened.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served by (a) post, shall be deemed to have been served ten days after the time when the letter containing the same is posted or, (b) facsimile or email, shall be deemed to have been served upon transmission to the correct facsimile number or email address, or (c) notice placed in accordance with the rules or regulations of the Designated Stock Exchange, the Commission and/or any other competent regulatory authority or on the Company’s Website is deemed given by the Company to a Member on the day it is placed, or (d) recognised courier service, shall be deemed to have been served 48 hours after the time when the letter containing the same is delivered to the courier service. In proving service by post or courier service it shall be sufficient to prove that the letter containing the notice or documents was properly addressed and duly posted or delivered to the courier service.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left="660" w:hanging="652"/>
        <w:spacing w:after="0" w:line="25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by post, left at the registered address of any Shareholder or sent by facsimile transmission or email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of Members as the holder of the share, and such service shall for all purposes be deemed a sufficient service of such notice or document on all persons interested (whether jointly with or as claiming through or under him) in the share.</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of the Company shall be given to:</w:t>
      </w:r>
    </w:p>
    <w:p>
      <w:pPr>
        <w:spacing w:after="0" w:line="225"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148.1. all Shareholders holding shares with the right to receive notice and who have supplied to the Company an address for the giving of notices to them; and</w:t>
      </w:r>
    </w:p>
    <w:p>
      <w:pPr>
        <w:spacing w:after="0" w:line="161"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148.2. every person entitled to a share in consequence of the death or bankruptcy of a Shareholder, who but for his death or bankruptcy would be entitled to receive notice of the meeting.</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229" w:lineRule="exact"/>
        <w:rPr>
          <w:sz w:val="20"/>
          <w:szCs w:val="20"/>
          <w:color w:val="auto"/>
        </w:rPr>
      </w:pPr>
    </w:p>
    <w:p>
      <w:pPr>
        <w:jc w:val="both"/>
        <w:ind w:left="660" w:hanging="652"/>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due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60" w:hanging="652"/>
        <w:spacing w:after="0" w:line="254"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w:t>
      </w:r>
      <w:r>
        <w:rPr>
          <w:rFonts w:ascii="Times New Roman" w:cs="Times New Roman" w:eastAsia="Times New Roman" w:hAnsi="Times New Roman"/>
          <w:sz w:val="18"/>
          <w:szCs w:val="18"/>
          <w:b w:val="1"/>
          <w:bCs w:val="1"/>
          <w:i w:val="1"/>
          <w:iCs w:val="1"/>
          <w:color w:val="auto"/>
        </w:rPr>
        <w:t>Indemnified Person</w:t>
      </w:r>
      <w:r>
        <w:rPr>
          <w:rFonts w:ascii="Times New Roman" w:cs="Times New Roman" w:eastAsia="Times New Roman" w:hAnsi="Times New Roman"/>
          <w:sz w:val="18"/>
          <w:szCs w:val="18"/>
          <w:color w:val="auto"/>
        </w:rPr>
        <w:t>)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19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Indemnified Person shall be liable:</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152.1.   for the acts, receipts, neglects, defaults or omissions of any other Director or officer or agent of the Company;</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152.2.   for any loss on account of defect of title to any property of the Company;</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152.3.   on account of the insufficiency of any security in or upon which any money of the Company shall be invested;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152.4.</w:t>
        <w:tab/>
        <w:t>for any loss occasioned by any negligence, default, breach of duty, breach of trust, error of judgement or oversight on such Indemnified Person’s part; or</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152.5.</w:t>
        <w:tab/>
        <w:t>for any loss, damage or misfortune whatsoever which may happen in or arise from the execution or discharge of the duties, powers, authorities, or discretions or such Indemnified Person’s office or in relation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same shall happen through such Indemnified Person’s own dishonesty, willful default or fraud.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229"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30 June in each year.</w:t>
      </w:r>
    </w:p>
    <w:p>
      <w:pPr>
        <w:spacing w:after="0" w:line="221" w:lineRule="exact"/>
        <w:rPr>
          <w:rFonts w:ascii="Times New Roman" w:cs="Times New Roman" w:eastAsia="Times New Roman" w:hAnsi="Times New Roman"/>
          <w:sz w:val="18"/>
          <w:szCs w:val="18"/>
          <w:color w:val="auto"/>
        </w:rPr>
      </w:pPr>
    </w:p>
    <w:p>
      <w:pPr>
        <w:ind w:left="4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NON-RECOGNITION OF TRUSTS</w:t>
      </w:r>
    </w:p>
    <w:p>
      <w:pPr>
        <w:spacing w:after="0" w:line="22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recognised by the Company as holding any share upon any trust and the Company shall not (unless required by law) be bound by or be compelled in any way to recognise (even when having notice thereof) any equitable, contingent or future interest in any of its shares or any other rights in respect thereof except an absolute right to the entirety thereof in each Shareholder registered in the Register of Members.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jc w:val="both"/>
        <w:ind w:left="660" w:hanging="652"/>
        <w:spacing w:after="0" w:line="255"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liquidator may, with the sanction of an Ordinary Resolution of the Company and any other sanction required by the Companies Act, divide amongst the Shareholders in specie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Shareholders or different class or series of shares. The liquidator may, with the like sanction, vest the whole or any part of such assets in trustees upon such trusts for the benefit of the contributories as the liquidator, with the like sanction shall think fit, but so that no Shareholder shall be compelled to accept any shares or other securities whereon there is any liability.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MEMORANDUM AND ARTICLES OF ASSOCIATION</w:t>
      </w:r>
    </w:p>
    <w:p>
      <w:pPr>
        <w:spacing w:after="0" w:line="229" w:lineRule="exact"/>
        <w:rPr>
          <w:sz w:val="20"/>
          <w:szCs w:val="20"/>
          <w:color w:val="auto"/>
        </w:rPr>
      </w:pPr>
    </w:p>
    <w:p>
      <w:pPr>
        <w:ind w:left="660" w:right="2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and the rights attaching to any class or series of shares, the Company may at any time and from time to time by Special Resolution alter or amend the Memorandum and these Articles in whole or in part.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BY WAY OF CONTINUATION</w:t>
      </w:r>
    </w:p>
    <w:p>
      <w:pPr>
        <w:spacing w:after="0" w:line="229" w:lineRule="exact"/>
        <w:rPr>
          <w:sz w:val="20"/>
          <w:szCs w:val="20"/>
          <w:color w:val="auto"/>
        </w:rPr>
      </w:pPr>
    </w:p>
    <w:p>
      <w:pPr>
        <w:jc w:val="both"/>
        <w:ind w:left="66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subject to the provisions of the Companies Act and with the approval of a Special Resolution, have the power to register by way of continuation as a body corporate under the laws of any jurisdiction outside the Cayman Islands and to be deregistered in the Cayman Islands.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any service providers (including the officers, the Secretary and the registered office agent of the Company) specifically authorised by the Directors, shall be entitled to disclose to any regulatory or judicial authority or to any stock exchange on which securities of the Company may from time to time be listed any information regarding the affairs of the Company including without limitation information contained in the Register and books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1."/>
      <w:numFmt w:val="decimal"/>
      <w:start w:val="3"/>
    </w:lvl>
  </w:abstractNum>
  <w:abstractNum w:abstractNumId="5">
    <w:nsid w:val="8138641"/>
    <w:multiLevelType w:val="hybridMultilevel"/>
    <w:lvl w:ilvl="0">
      <w:lvlJc w:val="left"/>
      <w:lvlText w:val="%1."/>
      <w:numFmt w:val="decimal"/>
      <w:start w:val="4"/>
    </w:lvl>
  </w:abstractNum>
  <w:abstractNum w:abstractNumId="6">
    <w:nsid w:val="1E7FF521"/>
    <w:multiLevelType w:val="hybridMultilevel"/>
    <w:lvl w:ilvl="0">
      <w:lvlJc w:val="left"/>
      <w:lvlText w:val="%1."/>
      <w:numFmt w:val="decimal"/>
      <w:start w:val="6"/>
    </w:lvl>
  </w:abstractNum>
  <w:abstractNum w:abstractNumId="7">
    <w:nsid w:val="7C3DBD3D"/>
    <w:multiLevelType w:val="hybridMultilevel"/>
    <w:lvl w:ilvl="0">
      <w:lvlJc w:val="left"/>
      <w:lvlText w:val="%1."/>
      <w:numFmt w:val="decimal"/>
      <w:start w:val="8"/>
    </w:lvl>
  </w:abstractNum>
  <w:abstractNum w:abstractNumId="8">
    <w:nsid w:val="737B8DDC"/>
    <w:multiLevelType w:val="hybridMultilevel"/>
    <w:lvl w:ilvl="0">
      <w:lvlJc w:val="left"/>
      <w:lvlText w:val="%1."/>
      <w:numFmt w:val="decimal"/>
      <w:start w:val="11"/>
    </w:lvl>
  </w:abstractNum>
  <w:abstractNum w:abstractNumId="9">
    <w:nsid w:val="6CEAF087"/>
    <w:multiLevelType w:val="hybridMultilevel"/>
    <w:lvl w:ilvl="0">
      <w:lvlJc w:val="left"/>
      <w:lvlText w:val="%1."/>
      <w:numFmt w:val="decimal"/>
      <w:start w:val="16"/>
    </w:lvl>
  </w:abstractNum>
  <w:abstractNum w:abstractNumId="10">
    <w:nsid w:val="22221A70"/>
    <w:multiLevelType w:val="hybridMultilevel"/>
    <w:lvl w:ilvl="0">
      <w:lvlJc w:val="left"/>
      <w:lvlText w:val="%1."/>
      <w:numFmt w:val="decimal"/>
      <w:start w:val="17"/>
    </w:lvl>
  </w:abstractNum>
  <w:abstractNum w:abstractNumId="11">
    <w:nsid w:val="4516DDE9"/>
    <w:multiLevelType w:val="hybridMultilevel"/>
    <w:lvl w:ilvl="0">
      <w:lvlJc w:val="left"/>
      <w:lvlText w:val="%1."/>
      <w:numFmt w:val="decimal"/>
      <w:start w:val="18"/>
    </w:lvl>
  </w:abstractNum>
  <w:abstractNum w:abstractNumId="12">
    <w:nsid w:val="3006C83E"/>
    <w:multiLevelType w:val="hybridMultilevel"/>
    <w:lvl w:ilvl="0">
      <w:lvlJc w:val="left"/>
      <w:lvlText w:val="%1."/>
      <w:numFmt w:val="decimal"/>
      <w:start w:val="20"/>
    </w:lvl>
  </w:abstractNum>
  <w:abstractNum w:abstractNumId="13">
    <w:nsid w:val="614FD4A1"/>
    <w:multiLevelType w:val="hybridMultilevel"/>
    <w:lvl w:ilvl="0">
      <w:lvlJc w:val="left"/>
      <w:lvlText w:val="%1."/>
      <w:numFmt w:val="decimal"/>
      <w:start w:val="22"/>
    </w:lvl>
  </w:abstractNum>
  <w:abstractNum w:abstractNumId="14">
    <w:nsid w:val="419AC241"/>
    <w:multiLevelType w:val="hybridMultilevel"/>
    <w:lvl w:ilvl="0">
      <w:lvlJc w:val="left"/>
      <w:lvlText w:val="%1."/>
      <w:numFmt w:val="decimal"/>
      <w:start w:val="24"/>
    </w:lvl>
  </w:abstractNum>
  <w:abstractNum w:abstractNumId="15">
    <w:nsid w:val="5577F8E1"/>
    <w:multiLevelType w:val="hybridMultilevel"/>
    <w:lvl w:ilvl="0">
      <w:lvlJc w:val="left"/>
      <w:lvlText w:val="%1."/>
      <w:numFmt w:val="decimal"/>
      <w:start w:val="28"/>
    </w:lvl>
  </w:abstractNum>
  <w:abstractNum w:abstractNumId="16">
    <w:nsid w:val="440BADFC"/>
    <w:multiLevelType w:val="hybridMultilevel"/>
    <w:lvl w:ilvl="0">
      <w:lvlJc w:val="left"/>
      <w:lvlText w:val="%1."/>
      <w:numFmt w:val="decimal"/>
      <w:start w:val="32"/>
    </w:lvl>
  </w:abstractNum>
  <w:abstractNum w:abstractNumId="17">
    <w:nsid w:val="5072367"/>
    <w:multiLevelType w:val="hybridMultilevel"/>
    <w:lvl w:ilvl="0">
      <w:lvlJc w:val="left"/>
      <w:lvlText w:val="%1."/>
      <w:numFmt w:val="decimal"/>
      <w:start w:val="38"/>
    </w:lvl>
  </w:abstractNum>
  <w:abstractNum w:abstractNumId="18">
    <w:nsid w:val="3804823E"/>
    <w:multiLevelType w:val="hybridMultilevel"/>
    <w:lvl w:ilvl="0">
      <w:lvlJc w:val="left"/>
      <w:lvlText w:val="%1."/>
      <w:numFmt w:val="decimal"/>
      <w:start w:val="40"/>
    </w:lvl>
  </w:abstractNum>
  <w:abstractNum w:abstractNumId="19">
    <w:nsid w:val="77465F01"/>
    <w:multiLevelType w:val="hybridMultilevel"/>
    <w:lvl w:ilvl="0">
      <w:lvlJc w:val="left"/>
      <w:lvlText w:val="%1."/>
      <w:numFmt w:val="decimal"/>
      <w:start w:val="46"/>
    </w:lvl>
  </w:abstractNum>
  <w:abstractNum w:abstractNumId="20">
    <w:nsid w:val="7724C67E"/>
    <w:multiLevelType w:val="hybridMultilevel"/>
    <w:lvl w:ilvl="0">
      <w:lvlJc w:val="left"/>
      <w:lvlText w:val="%1."/>
      <w:numFmt w:val="decimal"/>
      <w:start w:val="51"/>
    </w:lvl>
  </w:abstractNum>
  <w:abstractNum w:abstractNumId="21">
    <w:nsid w:val="5C482A97"/>
    <w:multiLevelType w:val="hybridMultilevel"/>
    <w:lvl w:ilvl="0">
      <w:lvlJc w:val="left"/>
      <w:lvlText w:val="%1."/>
      <w:numFmt w:val="decimal"/>
      <w:start w:val="54"/>
    </w:lvl>
  </w:abstractNum>
  <w:abstractNum w:abstractNumId="22">
    <w:nsid w:val="2463B9EA"/>
    <w:multiLevelType w:val="hybridMultilevel"/>
    <w:lvl w:ilvl="0">
      <w:lvlJc w:val="left"/>
      <w:lvlText w:val="%1."/>
      <w:numFmt w:val="decimal"/>
      <w:start w:val="55"/>
    </w:lvl>
  </w:abstractNum>
  <w:abstractNum w:abstractNumId="23">
    <w:nsid w:val="5E884ADC"/>
    <w:multiLevelType w:val="hybridMultilevel"/>
    <w:lvl w:ilvl="0">
      <w:lvlJc w:val="left"/>
      <w:lvlText w:val="%1."/>
      <w:numFmt w:val="decimal"/>
      <w:start w:val="61"/>
    </w:lvl>
  </w:abstractNum>
  <w:abstractNum w:abstractNumId="24">
    <w:nsid w:val="51EAD36B"/>
    <w:multiLevelType w:val="hybridMultilevel"/>
    <w:lvl w:ilvl="0">
      <w:lvlJc w:val="left"/>
      <w:lvlText w:val="%1."/>
      <w:numFmt w:val="decimal"/>
      <w:start w:val="63"/>
    </w:lvl>
  </w:abstractNum>
  <w:abstractNum w:abstractNumId="25">
    <w:nsid w:val="2D517796"/>
    <w:multiLevelType w:val="hybridMultilevel"/>
    <w:lvl w:ilvl="0">
      <w:lvlJc w:val="left"/>
      <w:lvlText w:val="%1."/>
      <w:numFmt w:val="decimal"/>
      <w:start w:val="65"/>
    </w:lvl>
  </w:abstractNum>
  <w:abstractNum w:abstractNumId="26">
    <w:nsid w:val="580BD78F"/>
    <w:multiLevelType w:val="hybridMultilevel"/>
    <w:lvl w:ilvl="0">
      <w:lvlJc w:val="left"/>
      <w:lvlText w:val="%1."/>
      <w:numFmt w:val="decimal"/>
      <w:start w:val="69"/>
    </w:lvl>
  </w:abstractNum>
  <w:abstractNum w:abstractNumId="27">
    <w:nsid w:val="153EA438"/>
    <w:multiLevelType w:val="hybridMultilevel"/>
    <w:lvl w:ilvl="0">
      <w:lvlJc w:val="left"/>
      <w:lvlText w:val="%1."/>
      <w:numFmt w:val="decimal"/>
      <w:start w:val="77"/>
    </w:lvl>
  </w:abstractNum>
  <w:abstractNum w:abstractNumId="28">
    <w:nsid w:val="3855585C"/>
    <w:multiLevelType w:val="hybridMultilevel"/>
    <w:lvl w:ilvl="0">
      <w:lvlJc w:val="left"/>
      <w:lvlText w:val="%1."/>
      <w:numFmt w:val="decimal"/>
      <w:start w:val="81"/>
    </w:lvl>
  </w:abstractNum>
  <w:abstractNum w:abstractNumId="29">
    <w:nsid w:val="70A64E2A"/>
    <w:multiLevelType w:val="hybridMultilevel"/>
    <w:lvl w:ilvl="0">
      <w:lvlJc w:val="left"/>
      <w:lvlText w:val="%1."/>
      <w:numFmt w:val="decimal"/>
      <w:start w:val="87"/>
    </w:lvl>
  </w:abstractNum>
  <w:abstractNum w:abstractNumId="30">
    <w:nsid w:val="6A2342EC"/>
    <w:multiLevelType w:val="hybridMultilevel"/>
    <w:lvl w:ilvl="0">
      <w:lvlJc w:val="left"/>
      <w:lvlText w:val="%1."/>
      <w:numFmt w:val="decimal"/>
      <w:start w:val="88"/>
    </w:lvl>
  </w:abstractNum>
  <w:abstractNum w:abstractNumId="31">
    <w:nsid w:val="2A487CB0"/>
    <w:multiLevelType w:val="hybridMultilevel"/>
    <w:lvl w:ilvl="0">
      <w:lvlJc w:val="left"/>
      <w:lvlText w:val="%1."/>
      <w:numFmt w:val="decimal"/>
      <w:start w:val="89"/>
    </w:lvl>
  </w:abstractNum>
  <w:abstractNum w:abstractNumId="32">
    <w:nsid w:val="1D4ED43B"/>
    <w:multiLevelType w:val="hybridMultilevel"/>
    <w:lvl w:ilvl="0">
      <w:lvlJc w:val="left"/>
      <w:lvlText w:val="%1."/>
      <w:numFmt w:val="decimal"/>
      <w:start w:val="95"/>
    </w:lvl>
  </w:abstractNum>
  <w:abstractNum w:abstractNumId="33">
    <w:nsid w:val="725A06FB"/>
    <w:multiLevelType w:val="hybridMultilevel"/>
    <w:lvl w:ilvl="0">
      <w:lvlJc w:val="left"/>
      <w:lvlText w:val="%1."/>
      <w:numFmt w:val="decimal"/>
      <w:start w:val="96"/>
    </w:lvl>
  </w:abstractNum>
  <w:abstractNum w:abstractNumId="34">
    <w:nsid w:val="2CD89A32"/>
    <w:multiLevelType w:val="hybridMultilevel"/>
    <w:lvl w:ilvl="0">
      <w:lvlJc w:val="left"/>
      <w:lvlText w:val="%1."/>
      <w:numFmt w:val="decimal"/>
      <w:start w:val="100"/>
    </w:lvl>
  </w:abstractNum>
  <w:abstractNum w:abstractNumId="35">
    <w:nsid w:val="57E4CCAF"/>
    <w:multiLevelType w:val="hybridMultilevel"/>
    <w:lvl w:ilvl="0">
      <w:lvlJc w:val="left"/>
      <w:lvlText w:val="%1."/>
      <w:numFmt w:val="decimal"/>
      <w:start w:val="106"/>
    </w:lvl>
  </w:abstractNum>
  <w:abstractNum w:abstractNumId="36">
    <w:nsid w:val="7A6D8D3C"/>
    <w:multiLevelType w:val="hybridMultilevel"/>
    <w:lvl w:ilvl="0">
      <w:lvlJc w:val="left"/>
      <w:lvlText w:val="%1."/>
      <w:numFmt w:val="decimal"/>
      <w:start w:val="107"/>
    </w:lvl>
  </w:abstractNum>
  <w:abstractNum w:abstractNumId="37">
    <w:nsid w:val="4B588F54"/>
    <w:multiLevelType w:val="hybridMultilevel"/>
    <w:lvl w:ilvl="0">
      <w:lvlJc w:val="left"/>
      <w:lvlText w:val="%1."/>
      <w:numFmt w:val="decimal"/>
      <w:start w:val="109"/>
    </w:lvl>
  </w:abstractNum>
  <w:abstractNum w:abstractNumId="38">
    <w:nsid w:val="542289EC"/>
    <w:multiLevelType w:val="hybridMultilevel"/>
    <w:lvl w:ilvl="0">
      <w:lvlJc w:val="left"/>
      <w:lvlText w:val="%1."/>
      <w:numFmt w:val="decimal"/>
      <w:start w:val="119"/>
    </w:lvl>
  </w:abstractNum>
  <w:abstractNum w:abstractNumId="39">
    <w:nsid w:val="6DE91B18"/>
    <w:multiLevelType w:val="hybridMultilevel"/>
    <w:lvl w:ilvl="0">
      <w:lvlJc w:val="left"/>
      <w:lvlText w:val="%1."/>
      <w:numFmt w:val="decimal"/>
      <w:start w:val="122"/>
    </w:lvl>
  </w:abstractNum>
  <w:abstractNum w:abstractNumId="40">
    <w:nsid w:val="38437FDB"/>
    <w:multiLevelType w:val="hybridMultilevel"/>
    <w:lvl w:ilvl="0">
      <w:lvlJc w:val="left"/>
      <w:lvlText w:val="%1."/>
      <w:numFmt w:val="decimal"/>
      <w:start w:val="126"/>
    </w:lvl>
  </w:abstractNum>
  <w:abstractNum w:abstractNumId="41">
    <w:nsid w:val="7644A45C"/>
    <w:multiLevelType w:val="hybridMultilevel"/>
    <w:lvl w:ilvl="0">
      <w:lvlJc w:val="left"/>
      <w:lvlText w:val="%1."/>
      <w:numFmt w:val="decimal"/>
      <w:start w:val="130"/>
    </w:lvl>
  </w:abstractNum>
  <w:abstractNum w:abstractNumId="42">
    <w:nsid w:val="32FFF902"/>
    <w:multiLevelType w:val="hybridMultilevel"/>
    <w:lvl w:ilvl="0">
      <w:lvlJc w:val="left"/>
      <w:lvlText w:val="%1."/>
      <w:numFmt w:val="decimal"/>
      <w:start w:val="135"/>
    </w:lvl>
  </w:abstractNum>
  <w:abstractNum w:abstractNumId="43">
    <w:nsid w:val="684A481A"/>
    <w:multiLevelType w:val="hybridMultilevel"/>
    <w:lvl w:ilvl="0">
      <w:lvlJc w:val="left"/>
      <w:lvlText w:val="%1."/>
      <w:numFmt w:val="decimal"/>
      <w:start w:val="140"/>
    </w:lvl>
  </w:abstractNum>
  <w:abstractNum w:abstractNumId="44">
    <w:nsid w:val="579478FE"/>
    <w:multiLevelType w:val="hybridMultilevel"/>
    <w:lvl w:ilvl="0">
      <w:lvlJc w:val="left"/>
      <w:lvlText w:val="%1."/>
      <w:numFmt w:val="decimal"/>
      <w:start w:val="142"/>
    </w:lvl>
  </w:abstractNum>
  <w:abstractNum w:abstractNumId="45">
    <w:nsid w:val="749ABB43"/>
    <w:multiLevelType w:val="hybridMultilevel"/>
    <w:lvl w:ilvl="0">
      <w:lvlJc w:val="left"/>
      <w:lvlText w:val="%1."/>
      <w:numFmt w:val="decimal"/>
      <w:start w:val="144"/>
    </w:lvl>
  </w:abstractNum>
  <w:abstractNum w:abstractNumId="46">
    <w:nsid w:val="3DC240FB"/>
    <w:multiLevelType w:val="hybridMultilevel"/>
    <w:lvl w:ilvl="0">
      <w:lvlJc w:val="left"/>
      <w:lvlText w:val="%1."/>
      <w:numFmt w:val="decimal"/>
      <w:start w:val="147"/>
    </w:lvl>
  </w:abstractNum>
  <w:abstractNum w:abstractNumId="47">
    <w:nsid w:val="1BA026FA"/>
    <w:multiLevelType w:val="hybridMultilevel"/>
    <w:lvl w:ilvl="0">
      <w:lvlJc w:val="left"/>
      <w:lvlText w:val="%1."/>
      <w:numFmt w:val="decimal"/>
      <w:start w:val="149"/>
    </w:lvl>
  </w:abstractNum>
  <w:abstractNum w:abstractNumId="48">
    <w:nsid w:val="79A1DEAA"/>
    <w:multiLevelType w:val="hybridMultilevel"/>
    <w:lvl w:ilvl="0">
      <w:lvlJc w:val="left"/>
      <w:lvlText w:val="%1."/>
      <w:numFmt w:val="decimal"/>
      <w:start w:val="151"/>
    </w:lvl>
  </w:abstractNum>
  <w:abstractNum w:abstractNumId="49">
    <w:nsid w:val="75C6C33A"/>
    <w:multiLevelType w:val="hybridMultilevel"/>
    <w:lvl w:ilvl="0">
      <w:lvlJc w:val="left"/>
      <w:lvlText w:val="%1."/>
      <w:numFmt w:val="decimal"/>
      <w:start w:val="153"/>
    </w:lvl>
  </w:abstractNum>
  <w:abstractNum w:abstractNumId="50">
    <w:nsid w:val="12E685FB"/>
    <w:multiLevelType w:val="hybridMultilevel"/>
    <w:lvl w:ilvl="0">
      <w:lvlJc w:val="left"/>
      <w:lvlText w:val="%1."/>
      <w:numFmt w:val="decimal"/>
      <w:start w:val="155"/>
    </w:lvl>
  </w:abstractNum>
  <w:abstractNum w:abstractNumId="51">
    <w:nsid w:val="70C6A529"/>
    <w:multiLevelType w:val="hybridMultilevel"/>
    <w:lvl w:ilvl="0">
      <w:lvlJc w:val="left"/>
      <w:lvlText w:val="%1."/>
      <w:numFmt w:val="decimal"/>
      <w:start w:val="156"/>
    </w:lvl>
  </w:abstractNum>
  <w:abstractNum w:abstractNumId="52">
    <w:nsid w:val="520EEDD1"/>
    <w:multiLevelType w:val="hybridMultilevel"/>
    <w:lvl w:ilvl="0">
      <w:lvlJc w:val="left"/>
      <w:lvlText w:val="%1."/>
      <w:numFmt w:val="decimal"/>
      <w:start w:val="157"/>
    </w:lvl>
  </w:abstractNum>
  <w:abstractNum w:abstractNumId="53">
    <w:nsid w:val="374A3FE6"/>
    <w:multiLevelType w:val="hybridMultilevel"/>
    <w:lvl w:ilvl="0">
      <w:lvlJc w:val="left"/>
      <w:lvlText w:val="%1."/>
      <w:numFmt w:val="decimal"/>
      <w:start w:val="15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2026-06-08T08:02:53Z</dcterms:created>
  <dcterms:modified xsi:type="dcterms:W3CDTF">2026-06-08T08:02:53Z</dcterms:modified>
</cp:coreProperties>
</file>